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0AA0C" w14:textId="5A902686" w:rsidR="000F2E67" w:rsidRPr="000F2E67" w:rsidRDefault="00237C23" w:rsidP="000F2E67">
      <w:r w:rsidRPr="00237C23">
        <w:rPr>
          <w:noProof/>
        </w:rPr>
        <w:drawing>
          <wp:inline distT="0" distB="0" distL="0" distR="0" wp14:anchorId="6722BD7E" wp14:editId="018FC3C2">
            <wp:extent cx="2288831" cy="733425"/>
            <wp:effectExtent l="0" t="0" r="0" b="0"/>
            <wp:docPr id="214587910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879101" name=""/>
                    <pic:cNvPicPr/>
                  </pic:nvPicPr>
                  <pic:blipFill>
                    <a:blip r:embed="rId9"/>
                    <a:stretch>
                      <a:fillRect/>
                    </a:stretch>
                  </pic:blipFill>
                  <pic:spPr>
                    <a:xfrm>
                      <a:off x="0" y="0"/>
                      <a:ext cx="2292731" cy="734675"/>
                    </a:xfrm>
                    <a:prstGeom prst="rect">
                      <a:avLst/>
                    </a:prstGeom>
                  </pic:spPr>
                </pic:pic>
              </a:graphicData>
            </a:graphic>
          </wp:inline>
        </w:drawing>
      </w:r>
      <w:r w:rsidR="000F2E67">
        <w:t xml:space="preserve">                                             </w:t>
      </w:r>
      <w:r w:rsidR="000F2E67" w:rsidRPr="00C66483">
        <w:t xml:space="preserve"> </w:t>
      </w:r>
      <w:r w:rsidR="000F2E67">
        <w:rPr>
          <w:noProof/>
        </w:rPr>
        <w:drawing>
          <wp:inline distT="0" distB="0" distL="0" distR="0" wp14:anchorId="66BBE307" wp14:editId="51016EB1">
            <wp:extent cx="1770380" cy="747416"/>
            <wp:effectExtent l="0" t="0" r="1270" b="0"/>
            <wp:docPr id="259692041" name="Slika 1" descr="Slika na kojoj se prikazuje grafika, ukrasni isječci, grafički dizajn, Crtić&#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692041" name="Slika 1" descr="Slika na kojoj se prikazuje grafika, ukrasni isječci, grafički dizajn, Crtić&#10;&#10;Sadržaj generiran uz AI možda nije toča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8602" cy="750887"/>
                    </a:xfrm>
                    <a:prstGeom prst="rect">
                      <a:avLst/>
                    </a:prstGeom>
                  </pic:spPr>
                </pic:pic>
              </a:graphicData>
            </a:graphic>
          </wp:inline>
        </w:drawing>
      </w:r>
    </w:p>
    <w:p w14:paraId="3C3F14CD" w14:textId="77777777" w:rsidR="009F7064" w:rsidRDefault="009F7064" w:rsidP="00FC668B">
      <w:pPr>
        <w:jc w:val="center"/>
        <w:rPr>
          <w:b/>
          <w:sz w:val="28"/>
          <w:szCs w:val="28"/>
        </w:rPr>
      </w:pPr>
    </w:p>
    <w:p w14:paraId="183E4935" w14:textId="75759E19" w:rsidR="00FC668B" w:rsidRPr="00174A96" w:rsidRDefault="003244DC" w:rsidP="00FC668B">
      <w:pPr>
        <w:jc w:val="center"/>
        <w:rPr>
          <w:b/>
          <w:sz w:val="28"/>
          <w:szCs w:val="28"/>
        </w:rPr>
      </w:pPr>
      <w:r>
        <w:rPr>
          <w:b/>
          <w:sz w:val="28"/>
          <w:szCs w:val="28"/>
        </w:rPr>
        <w:t xml:space="preserve">MINISTARSTVO </w:t>
      </w:r>
      <w:r w:rsidR="007B234F">
        <w:rPr>
          <w:b/>
          <w:sz w:val="28"/>
          <w:szCs w:val="28"/>
        </w:rPr>
        <w:t>ZAŠTITE OKOLIŠA I ZELENE TRANZICIJE</w:t>
      </w:r>
    </w:p>
    <w:p w14:paraId="7D540209" w14:textId="43F7B1C7" w:rsidR="00FC668B" w:rsidRPr="00174A96" w:rsidRDefault="00FC668B" w:rsidP="00FC668B">
      <w:pPr>
        <w:jc w:val="center"/>
        <w:rPr>
          <w:b/>
          <w:sz w:val="28"/>
          <w:szCs w:val="28"/>
        </w:rPr>
      </w:pPr>
    </w:p>
    <w:p w14:paraId="106C0AE5" w14:textId="1BEAA060" w:rsidR="008705CA" w:rsidRPr="00174A96" w:rsidRDefault="008705CA" w:rsidP="00FC668B">
      <w:pPr>
        <w:jc w:val="center"/>
        <w:rPr>
          <w:b/>
          <w:sz w:val="28"/>
          <w:szCs w:val="28"/>
        </w:rPr>
      </w:pPr>
    </w:p>
    <w:p w14:paraId="13174AA9" w14:textId="1E881725" w:rsidR="008705CA" w:rsidRPr="00174A96" w:rsidRDefault="008705CA" w:rsidP="00FC668B">
      <w:pPr>
        <w:jc w:val="center"/>
        <w:rPr>
          <w:b/>
          <w:sz w:val="28"/>
          <w:szCs w:val="28"/>
        </w:rPr>
      </w:pPr>
    </w:p>
    <w:p w14:paraId="65EC962B" w14:textId="4049E482" w:rsidR="00174A96" w:rsidRPr="00174A96" w:rsidRDefault="00174A96" w:rsidP="00FC668B">
      <w:pPr>
        <w:jc w:val="center"/>
        <w:rPr>
          <w:b/>
          <w:sz w:val="28"/>
          <w:szCs w:val="28"/>
        </w:rPr>
      </w:pPr>
    </w:p>
    <w:p w14:paraId="6DD036DA" w14:textId="67D52B0D" w:rsidR="00174A96" w:rsidRPr="00174A96" w:rsidRDefault="00174A96" w:rsidP="00FC668B">
      <w:pPr>
        <w:jc w:val="center"/>
        <w:rPr>
          <w:b/>
          <w:sz w:val="28"/>
          <w:szCs w:val="28"/>
        </w:rPr>
      </w:pPr>
    </w:p>
    <w:p w14:paraId="77E17440" w14:textId="77777777" w:rsidR="00174A96" w:rsidRPr="00174A96" w:rsidRDefault="00174A96" w:rsidP="00FC668B">
      <w:pPr>
        <w:jc w:val="center"/>
        <w:rPr>
          <w:b/>
          <w:sz w:val="28"/>
          <w:szCs w:val="28"/>
        </w:rPr>
      </w:pPr>
    </w:p>
    <w:p w14:paraId="27FF0E0D" w14:textId="288B2696" w:rsidR="00B211BF" w:rsidRPr="00174A96" w:rsidRDefault="00B67956" w:rsidP="00FC668B">
      <w:pPr>
        <w:jc w:val="center"/>
        <w:rPr>
          <w:b/>
          <w:sz w:val="36"/>
          <w:szCs w:val="36"/>
        </w:rPr>
      </w:pPr>
      <w:r w:rsidRPr="00174A96">
        <w:rPr>
          <w:b/>
          <w:sz w:val="36"/>
          <w:szCs w:val="36"/>
        </w:rPr>
        <w:t>IZVJEŠĆE</w:t>
      </w:r>
    </w:p>
    <w:p w14:paraId="5669D8F2" w14:textId="31FF9E73" w:rsidR="00733C58" w:rsidRPr="009F7064" w:rsidRDefault="00B67956" w:rsidP="009F7064">
      <w:pPr>
        <w:pStyle w:val="Naslov"/>
        <w:spacing w:after="5520"/>
        <w:jc w:val="center"/>
        <w:rPr>
          <w:rFonts w:ascii="Times New Roman" w:hAnsi="Times New Roman" w:cs="Times New Roman"/>
          <w:b/>
          <w:sz w:val="28"/>
          <w:szCs w:val="28"/>
        </w:rPr>
      </w:pPr>
      <w:r w:rsidRPr="00174A96">
        <w:rPr>
          <w:rFonts w:ascii="Times New Roman" w:hAnsi="Times New Roman" w:cs="Times New Roman"/>
          <w:b/>
          <w:sz w:val="28"/>
          <w:szCs w:val="28"/>
        </w:rPr>
        <w:t xml:space="preserve">O KORIŠTENJU FINANCIJSKIH SREDSTAVA DOBIVENIH OD PRODAJE EMISIJSKIH JEDINICA PUTEM DRAŽBI U REPUBLICI HRVATSKOJ </w:t>
      </w:r>
      <w:r w:rsidRPr="00733C58">
        <w:rPr>
          <w:rFonts w:ascii="Times New Roman" w:hAnsi="Times New Roman" w:cs="Times New Roman"/>
          <w:b/>
          <w:sz w:val="28"/>
          <w:szCs w:val="28"/>
        </w:rPr>
        <w:t xml:space="preserve">U </w:t>
      </w:r>
      <w:r w:rsidR="00B36650" w:rsidRPr="00733C58">
        <w:rPr>
          <w:rFonts w:ascii="Times New Roman" w:hAnsi="Times New Roman" w:cs="Times New Roman"/>
          <w:b/>
          <w:sz w:val="28"/>
          <w:szCs w:val="28"/>
        </w:rPr>
        <w:t>202</w:t>
      </w:r>
      <w:r w:rsidR="007B234F">
        <w:rPr>
          <w:rFonts w:ascii="Times New Roman" w:hAnsi="Times New Roman" w:cs="Times New Roman"/>
          <w:b/>
          <w:sz w:val="28"/>
          <w:szCs w:val="28"/>
        </w:rPr>
        <w:t>3</w:t>
      </w:r>
      <w:r w:rsidR="00B36650" w:rsidRPr="00733C58">
        <w:rPr>
          <w:rFonts w:ascii="Times New Roman" w:hAnsi="Times New Roman" w:cs="Times New Roman"/>
          <w:b/>
          <w:sz w:val="28"/>
          <w:szCs w:val="28"/>
        </w:rPr>
        <w:t xml:space="preserve">. </w:t>
      </w:r>
      <w:r w:rsidR="00FE0C7B">
        <w:rPr>
          <w:rFonts w:ascii="Times New Roman" w:hAnsi="Times New Roman" w:cs="Times New Roman"/>
          <w:b/>
          <w:sz w:val="28"/>
          <w:szCs w:val="28"/>
        </w:rPr>
        <w:t>I</w:t>
      </w:r>
      <w:r w:rsidR="00B36650" w:rsidRPr="00733C58">
        <w:rPr>
          <w:rFonts w:ascii="Times New Roman" w:hAnsi="Times New Roman" w:cs="Times New Roman"/>
          <w:b/>
          <w:sz w:val="28"/>
          <w:szCs w:val="28"/>
        </w:rPr>
        <w:t xml:space="preserve"> </w:t>
      </w:r>
      <w:r w:rsidRPr="00733C58">
        <w:rPr>
          <w:rFonts w:ascii="Times New Roman" w:hAnsi="Times New Roman" w:cs="Times New Roman"/>
          <w:b/>
          <w:sz w:val="28"/>
          <w:szCs w:val="28"/>
        </w:rPr>
        <w:t>202</w:t>
      </w:r>
      <w:r w:rsidR="007B234F">
        <w:rPr>
          <w:rFonts w:ascii="Times New Roman" w:hAnsi="Times New Roman" w:cs="Times New Roman"/>
          <w:b/>
          <w:sz w:val="28"/>
          <w:szCs w:val="28"/>
        </w:rPr>
        <w:t>4</w:t>
      </w:r>
      <w:r w:rsidRPr="00733C58">
        <w:rPr>
          <w:rFonts w:ascii="Times New Roman" w:hAnsi="Times New Roman" w:cs="Times New Roman"/>
          <w:b/>
          <w:sz w:val="28"/>
          <w:szCs w:val="28"/>
        </w:rPr>
        <w:t>.</w:t>
      </w:r>
    </w:p>
    <w:p w14:paraId="279B3059" w14:textId="72765FCE" w:rsidR="000F2E67" w:rsidRDefault="000F2E67" w:rsidP="000F2E67">
      <w:pPr>
        <w:jc w:val="center"/>
        <w:rPr>
          <w:b/>
        </w:rPr>
      </w:pPr>
      <w:r w:rsidRPr="00174A96">
        <w:rPr>
          <w:b/>
        </w:rPr>
        <w:t xml:space="preserve">Zagreb, </w:t>
      </w:r>
      <w:r w:rsidR="00964B5D">
        <w:rPr>
          <w:b/>
        </w:rPr>
        <w:t>sviba</w:t>
      </w:r>
      <w:r w:rsidR="00034C77">
        <w:rPr>
          <w:b/>
        </w:rPr>
        <w:t>nj</w:t>
      </w:r>
      <w:r>
        <w:rPr>
          <w:b/>
        </w:rPr>
        <w:t xml:space="preserve"> 2026.</w:t>
      </w:r>
    </w:p>
    <w:p w14:paraId="010C5FBF" w14:textId="77777777" w:rsidR="00733C58" w:rsidRPr="00733C58" w:rsidRDefault="00733C58" w:rsidP="00733C58"/>
    <w:sdt>
      <w:sdtPr>
        <w:rPr>
          <w:rFonts w:eastAsiaTheme="minorHAnsi"/>
          <w:b w:val="0"/>
          <w:bCs w:val="0"/>
          <w:lang w:eastAsia="en-US"/>
        </w:rPr>
        <w:id w:val="1629197978"/>
        <w:docPartObj>
          <w:docPartGallery w:val="Table of Contents"/>
          <w:docPartUnique/>
        </w:docPartObj>
      </w:sdtPr>
      <w:sdtContent>
        <w:p w14:paraId="4F24B550" w14:textId="17659EE7" w:rsidR="0017583B" w:rsidRPr="00EC2687" w:rsidRDefault="0017583B" w:rsidP="0017583B">
          <w:pPr>
            <w:pStyle w:val="TOCNaslov"/>
            <w:numPr>
              <w:ilvl w:val="0"/>
              <w:numId w:val="0"/>
            </w:numPr>
            <w:rPr>
              <w:b w:val="0"/>
              <w:bCs w:val="0"/>
            </w:rPr>
          </w:pPr>
          <w:r w:rsidRPr="00EC2687">
            <w:rPr>
              <w:b w:val="0"/>
              <w:bCs w:val="0"/>
            </w:rPr>
            <w:t>Sadržaj</w:t>
          </w:r>
        </w:p>
        <w:p w14:paraId="067CA3F5" w14:textId="61875385" w:rsidR="009B68E8" w:rsidRDefault="0017583B">
          <w:pPr>
            <w:pStyle w:val="Sadraj1"/>
            <w:tabs>
              <w:tab w:val="left" w:pos="440"/>
              <w:tab w:val="right" w:leader="dot" w:pos="9062"/>
            </w:tabs>
            <w:rPr>
              <w:rFonts w:asciiTheme="minorHAnsi" w:eastAsiaTheme="minorEastAsia" w:hAnsiTheme="minorHAnsi" w:cstheme="minorBidi"/>
              <w:noProof/>
              <w:kern w:val="2"/>
              <w:lang w:eastAsia="zh-CN"/>
              <w14:ligatures w14:val="standardContextual"/>
            </w:rPr>
          </w:pPr>
          <w:r w:rsidRPr="00EC2687">
            <w:fldChar w:fldCharType="begin"/>
          </w:r>
          <w:r w:rsidRPr="00DE7223">
            <w:instrText xml:space="preserve"> TOC \o "1-3" \h \z \u </w:instrText>
          </w:r>
          <w:r w:rsidRPr="00EC2687">
            <w:fldChar w:fldCharType="separate"/>
          </w:r>
          <w:hyperlink w:anchor="_Toc226980219" w:history="1">
            <w:r w:rsidR="009B68E8" w:rsidRPr="00E71F5E">
              <w:rPr>
                <w:rStyle w:val="Hiperveza"/>
                <w:noProof/>
              </w:rPr>
              <w:t>1.</w:t>
            </w:r>
            <w:r w:rsidR="009B68E8">
              <w:rPr>
                <w:rFonts w:asciiTheme="minorHAnsi" w:eastAsiaTheme="minorEastAsia" w:hAnsiTheme="minorHAnsi" w:cstheme="minorBidi"/>
                <w:noProof/>
                <w:kern w:val="2"/>
                <w:lang w:eastAsia="zh-CN"/>
                <w14:ligatures w14:val="standardContextual"/>
              </w:rPr>
              <w:tab/>
            </w:r>
            <w:r w:rsidR="009B68E8" w:rsidRPr="00E71F5E">
              <w:rPr>
                <w:rStyle w:val="Hiperveza"/>
                <w:noProof/>
              </w:rPr>
              <w:t>Sažetak</w:t>
            </w:r>
            <w:r w:rsidR="009B68E8">
              <w:rPr>
                <w:noProof/>
                <w:webHidden/>
              </w:rPr>
              <w:tab/>
            </w:r>
            <w:r w:rsidR="009B68E8">
              <w:rPr>
                <w:noProof/>
                <w:webHidden/>
              </w:rPr>
              <w:fldChar w:fldCharType="begin"/>
            </w:r>
            <w:r w:rsidR="009B68E8">
              <w:rPr>
                <w:noProof/>
                <w:webHidden/>
              </w:rPr>
              <w:instrText xml:space="preserve"> PAGEREF _Toc226980219 \h </w:instrText>
            </w:r>
            <w:r w:rsidR="009B68E8">
              <w:rPr>
                <w:noProof/>
                <w:webHidden/>
              </w:rPr>
            </w:r>
            <w:r w:rsidR="009B68E8">
              <w:rPr>
                <w:noProof/>
                <w:webHidden/>
              </w:rPr>
              <w:fldChar w:fldCharType="separate"/>
            </w:r>
            <w:r w:rsidR="00964B5D">
              <w:rPr>
                <w:noProof/>
                <w:webHidden/>
              </w:rPr>
              <w:t>3</w:t>
            </w:r>
            <w:r w:rsidR="009B68E8">
              <w:rPr>
                <w:noProof/>
                <w:webHidden/>
              </w:rPr>
              <w:fldChar w:fldCharType="end"/>
            </w:r>
          </w:hyperlink>
        </w:p>
        <w:p w14:paraId="76AAAA2B" w14:textId="7A2376B8" w:rsidR="009B68E8" w:rsidRDefault="009B68E8">
          <w:pPr>
            <w:pStyle w:val="Sadraj1"/>
            <w:tabs>
              <w:tab w:val="left" w:pos="440"/>
              <w:tab w:val="right" w:leader="dot" w:pos="9062"/>
            </w:tabs>
            <w:rPr>
              <w:rFonts w:asciiTheme="minorHAnsi" w:eastAsiaTheme="minorEastAsia" w:hAnsiTheme="minorHAnsi" w:cstheme="minorBidi"/>
              <w:noProof/>
              <w:kern w:val="2"/>
              <w:lang w:eastAsia="zh-CN"/>
              <w14:ligatures w14:val="standardContextual"/>
            </w:rPr>
          </w:pPr>
          <w:hyperlink w:anchor="_Toc226980220" w:history="1">
            <w:r w:rsidRPr="00E71F5E">
              <w:rPr>
                <w:rStyle w:val="Hiperveza"/>
                <w:noProof/>
              </w:rPr>
              <w:t>2.</w:t>
            </w:r>
            <w:r>
              <w:rPr>
                <w:rFonts w:asciiTheme="minorHAnsi" w:eastAsiaTheme="minorEastAsia" w:hAnsiTheme="minorHAnsi" w:cstheme="minorBidi"/>
                <w:noProof/>
                <w:kern w:val="2"/>
                <w:lang w:eastAsia="zh-CN"/>
                <w14:ligatures w14:val="standardContextual"/>
              </w:rPr>
              <w:tab/>
            </w:r>
            <w:r w:rsidRPr="00E71F5E">
              <w:rPr>
                <w:rStyle w:val="Hiperveza"/>
                <w:noProof/>
              </w:rPr>
              <w:t>Uvod</w:t>
            </w:r>
            <w:r>
              <w:rPr>
                <w:noProof/>
                <w:webHidden/>
              </w:rPr>
              <w:tab/>
            </w:r>
            <w:r>
              <w:rPr>
                <w:noProof/>
                <w:webHidden/>
              </w:rPr>
              <w:fldChar w:fldCharType="begin"/>
            </w:r>
            <w:r>
              <w:rPr>
                <w:noProof/>
                <w:webHidden/>
              </w:rPr>
              <w:instrText xml:space="preserve"> PAGEREF _Toc226980220 \h </w:instrText>
            </w:r>
            <w:r>
              <w:rPr>
                <w:noProof/>
                <w:webHidden/>
              </w:rPr>
            </w:r>
            <w:r>
              <w:rPr>
                <w:noProof/>
                <w:webHidden/>
              </w:rPr>
              <w:fldChar w:fldCharType="separate"/>
            </w:r>
            <w:r w:rsidR="00964B5D">
              <w:rPr>
                <w:noProof/>
                <w:webHidden/>
              </w:rPr>
              <w:t>4</w:t>
            </w:r>
            <w:r>
              <w:rPr>
                <w:noProof/>
                <w:webHidden/>
              </w:rPr>
              <w:fldChar w:fldCharType="end"/>
            </w:r>
          </w:hyperlink>
        </w:p>
        <w:p w14:paraId="0C4F2E5B" w14:textId="1B829752" w:rsidR="009B68E8" w:rsidRDefault="009B68E8">
          <w:pPr>
            <w:pStyle w:val="Sadraj1"/>
            <w:tabs>
              <w:tab w:val="left" w:pos="440"/>
              <w:tab w:val="right" w:leader="dot" w:pos="9062"/>
            </w:tabs>
            <w:rPr>
              <w:rFonts w:asciiTheme="minorHAnsi" w:eastAsiaTheme="minorEastAsia" w:hAnsiTheme="minorHAnsi" w:cstheme="minorBidi"/>
              <w:noProof/>
              <w:kern w:val="2"/>
              <w:lang w:eastAsia="zh-CN"/>
              <w14:ligatures w14:val="standardContextual"/>
            </w:rPr>
          </w:pPr>
          <w:hyperlink w:anchor="_Toc226980221" w:history="1">
            <w:r w:rsidRPr="00E71F5E">
              <w:rPr>
                <w:rStyle w:val="Hiperveza"/>
                <w:noProof/>
              </w:rPr>
              <w:t>3.</w:t>
            </w:r>
            <w:r>
              <w:rPr>
                <w:rFonts w:asciiTheme="minorHAnsi" w:eastAsiaTheme="minorEastAsia" w:hAnsiTheme="minorHAnsi" w:cstheme="minorBidi"/>
                <w:noProof/>
                <w:kern w:val="2"/>
                <w:lang w:eastAsia="zh-CN"/>
                <w14:ligatures w14:val="standardContextual"/>
              </w:rPr>
              <w:tab/>
            </w:r>
            <w:r w:rsidRPr="00E71F5E">
              <w:rPr>
                <w:rStyle w:val="Hiperveza"/>
                <w:noProof/>
              </w:rPr>
              <w:t>Plan korištenja financijskih sredstava dobivenih od prodaje emisijskih jedinica putem dražbi u Republici Hrvatskoj do 2020. godine – Plan I</w:t>
            </w:r>
            <w:r>
              <w:rPr>
                <w:noProof/>
                <w:webHidden/>
              </w:rPr>
              <w:tab/>
            </w:r>
            <w:r>
              <w:rPr>
                <w:noProof/>
                <w:webHidden/>
              </w:rPr>
              <w:fldChar w:fldCharType="begin"/>
            </w:r>
            <w:r>
              <w:rPr>
                <w:noProof/>
                <w:webHidden/>
              </w:rPr>
              <w:instrText xml:space="preserve"> PAGEREF _Toc226980221 \h </w:instrText>
            </w:r>
            <w:r>
              <w:rPr>
                <w:noProof/>
                <w:webHidden/>
              </w:rPr>
            </w:r>
            <w:r>
              <w:rPr>
                <w:noProof/>
                <w:webHidden/>
              </w:rPr>
              <w:fldChar w:fldCharType="separate"/>
            </w:r>
            <w:r w:rsidR="00964B5D">
              <w:rPr>
                <w:noProof/>
                <w:webHidden/>
              </w:rPr>
              <w:t>7</w:t>
            </w:r>
            <w:r>
              <w:rPr>
                <w:noProof/>
                <w:webHidden/>
              </w:rPr>
              <w:fldChar w:fldCharType="end"/>
            </w:r>
          </w:hyperlink>
        </w:p>
        <w:p w14:paraId="54B220EA" w14:textId="55D90D92" w:rsidR="009B68E8" w:rsidRDefault="009B68E8">
          <w:pPr>
            <w:pStyle w:val="Sadraj2"/>
            <w:tabs>
              <w:tab w:val="left" w:pos="960"/>
              <w:tab w:val="right" w:leader="dot" w:pos="9062"/>
            </w:tabs>
            <w:rPr>
              <w:noProof/>
              <w:kern w:val="2"/>
              <w:sz w:val="24"/>
              <w:szCs w:val="24"/>
              <w:lang w:eastAsia="zh-CN"/>
              <w14:ligatures w14:val="standardContextual"/>
            </w:rPr>
          </w:pPr>
          <w:hyperlink w:anchor="_Toc226980222" w:history="1">
            <w:r w:rsidRPr="00E71F5E">
              <w:rPr>
                <w:rStyle w:val="Hiperveza"/>
                <w:rFonts w:ascii="Times New Roman" w:hAnsi="Times New Roman" w:cs="Times New Roman"/>
                <w:noProof/>
              </w:rPr>
              <w:t>3.1.</w:t>
            </w:r>
            <w:r>
              <w:rPr>
                <w:noProof/>
                <w:kern w:val="2"/>
                <w:sz w:val="24"/>
                <w:szCs w:val="24"/>
                <w:lang w:eastAsia="zh-CN"/>
                <w14:ligatures w14:val="standardContextual"/>
              </w:rPr>
              <w:tab/>
            </w:r>
            <w:r w:rsidRPr="00E71F5E">
              <w:rPr>
                <w:rStyle w:val="Hiperveza"/>
                <w:rFonts w:ascii="Times New Roman" w:hAnsi="Times New Roman" w:cs="Times New Roman"/>
                <w:noProof/>
              </w:rPr>
              <w:t>Rashodi sredstava od dražbi u 2023. i 2024. sukladno Planu I</w:t>
            </w:r>
            <w:r>
              <w:rPr>
                <w:noProof/>
                <w:webHidden/>
              </w:rPr>
              <w:tab/>
            </w:r>
            <w:r>
              <w:rPr>
                <w:noProof/>
                <w:webHidden/>
              </w:rPr>
              <w:fldChar w:fldCharType="begin"/>
            </w:r>
            <w:r>
              <w:rPr>
                <w:noProof/>
                <w:webHidden/>
              </w:rPr>
              <w:instrText xml:space="preserve"> PAGEREF _Toc226980222 \h </w:instrText>
            </w:r>
            <w:r>
              <w:rPr>
                <w:noProof/>
                <w:webHidden/>
              </w:rPr>
            </w:r>
            <w:r>
              <w:rPr>
                <w:noProof/>
                <w:webHidden/>
              </w:rPr>
              <w:fldChar w:fldCharType="separate"/>
            </w:r>
            <w:r w:rsidR="00964B5D">
              <w:rPr>
                <w:noProof/>
                <w:webHidden/>
              </w:rPr>
              <w:t>7</w:t>
            </w:r>
            <w:r>
              <w:rPr>
                <w:noProof/>
                <w:webHidden/>
              </w:rPr>
              <w:fldChar w:fldCharType="end"/>
            </w:r>
          </w:hyperlink>
        </w:p>
        <w:p w14:paraId="50A59244" w14:textId="797778DF" w:rsidR="009B68E8" w:rsidRDefault="009B68E8">
          <w:pPr>
            <w:pStyle w:val="Sadraj2"/>
            <w:tabs>
              <w:tab w:val="left" w:pos="960"/>
              <w:tab w:val="right" w:leader="dot" w:pos="9062"/>
            </w:tabs>
            <w:rPr>
              <w:noProof/>
              <w:kern w:val="2"/>
              <w:sz w:val="24"/>
              <w:szCs w:val="24"/>
              <w:lang w:eastAsia="zh-CN"/>
              <w14:ligatures w14:val="standardContextual"/>
            </w:rPr>
          </w:pPr>
          <w:hyperlink w:anchor="_Toc226980223" w:history="1">
            <w:r w:rsidRPr="00E71F5E">
              <w:rPr>
                <w:rStyle w:val="Hiperveza"/>
                <w:rFonts w:ascii="Times New Roman" w:hAnsi="Times New Roman" w:cs="Times New Roman"/>
                <w:noProof/>
              </w:rPr>
              <w:t>3.2.</w:t>
            </w:r>
            <w:r>
              <w:rPr>
                <w:noProof/>
                <w:kern w:val="2"/>
                <w:sz w:val="24"/>
                <w:szCs w:val="24"/>
                <w:lang w:eastAsia="zh-CN"/>
                <w14:ligatures w14:val="standardContextual"/>
              </w:rPr>
              <w:tab/>
            </w:r>
            <w:r w:rsidRPr="00E71F5E">
              <w:rPr>
                <w:rStyle w:val="Hiperveza"/>
                <w:rFonts w:ascii="Times New Roman" w:hAnsi="Times New Roman" w:cs="Times New Roman"/>
                <w:noProof/>
              </w:rPr>
              <w:t>Opis korištenja financijskih sredstava dobivenih od prodaje emisijskih jedinica stakleničkih plinova putem dražbi po projektima i po prioritetnim mjerama Plana I.  u 2023. i 2024. godini</w:t>
            </w:r>
            <w:r>
              <w:rPr>
                <w:noProof/>
                <w:webHidden/>
              </w:rPr>
              <w:tab/>
            </w:r>
            <w:r>
              <w:rPr>
                <w:noProof/>
                <w:webHidden/>
              </w:rPr>
              <w:fldChar w:fldCharType="begin"/>
            </w:r>
            <w:r>
              <w:rPr>
                <w:noProof/>
                <w:webHidden/>
              </w:rPr>
              <w:instrText xml:space="preserve"> PAGEREF _Toc226980223 \h </w:instrText>
            </w:r>
            <w:r>
              <w:rPr>
                <w:noProof/>
                <w:webHidden/>
              </w:rPr>
            </w:r>
            <w:r>
              <w:rPr>
                <w:noProof/>
                <w:webHidden/>
              </w:rPr>
              <w:fldChar w:fldCharType="separate"/>
            </w:r>
            <w:r w:rsidR="00964B5D">
              <w:rPr>
                <w:noProof/>
                <w:webHidden/>
              </w:rPr>
              <w:t>8</w:t>
            </w:r>
            <w:r>
              <w:rPr>
                <w:noProof/>
                <w:webHidden/>
              </w:rPr>
              <w:fldChar w:fldCharType="end"/>
            </w:r>
          </w:hyperlink>
        </w:p>
        <w:p w14:paraId="7AE90BB3" w14:textId="75FD62E6" w:rsidR="009B68E8" w:rsidRDefault="009B68E8">
          <w:pPr>
            <w:pStyle w:val="Sadraj2"/>
            <w:tabs>
              <w:tab w:val="left" w:pos="960"/>
              <w:tab w:val="right" w:leader="dot" w:pos="9062"/>
            </w:tabs>
            <w:rPr>
              <w:noProof/>
              <w:kern w:val="2"/>
              <w:sz w:val="24"/>
              <w:szCs w:val="24"/>
              <w:lang w:eastAsia="zh-CN"/>
              <w14:ligatures w14:val="standardContextual"/>
            </w:rPr>
          </w:pPr>
          <w:hyperlink w:anchor="_Toc226980224" w:history="1">
            <w:r w:rsidRPr="00E71F5E">
              <w:rPr>
                <w:rStyle w:val="Hiperveza"/>
                <w:rFonts w:ascii="Times New Roman" w:hAnsi="Times New Roman" w:cs="Times New Roman"/>
                <w:noProof/>
              </w:rPr>
              <w:t>3.2.1.</w:t>
            </w:r>
            <w:r>
              <w:rPr>
                <w:noProof/>
                <w:kern w:val="2"/>
                <w:sz w:val="24"/>
                <w:szCs w:val="24"/>
                <w:lang w:eastAsia="zh-CN"/>
                <w14:ligatures w14:val="standardContextual"/>
              </w:rPr>
              <w:tab/>
            </w:r>
            <w:r w:rsidRPr="00E71F5E">
              <w:rPr>
                <w:rStyle w:val="Hiperveza"/>
                <w:rFonts w:ascii="Times New Roman" w:hAnsi="Times New Roman" w:cs="Times New Roman"/>
                <w:noProof/>
              </w:rPr>
              <w:t>Mjere korištenja obnovljivih izvora energije (OI)</w:t>
            </w:r>
            <w:r>
              <w:rPr>
                <w:noProof/>
                <w:webHidden/>
              </w:rPr>
              <w:tab/>
            </w:r>
            <w:r>
              <w:rPr>
                <w:noProof/>
                <w:webHidden/>
              </w:rPr>
              <w:fldChar w:fldCharType="begin"/>
            </w:r>
            <w:r>
              <w:rPr>
                <w:noProof/>
                <w:webHidden/>
              </w:rPr>
              <w:instrText xml:space="preserve"> PAGEREF _Toc226980224 \h </w:instrText>
            </w:r>
            <w:r>
              <w:rPr>
                <w:noProof/>
                <w:webHidden/>
              </w:rPr>
            </w:r>
            <w:r>
              <w:rPr>
                <w:noProof/>
                <w:webHidden/>
              </w:rPr>
              <w:fldChar w:fldCharType="separate"/>
            </w:r>
            <w:r w:rsidR="00964B5D">
              <w:rPr>
                <w:noProof/>
                <w:webHidden/>
              </w:rPr>
              <w:t>8</w:t>
            </w:r>
            <w:r>
              <w:rPr>
                <w:noProof/>
                <w:webHidden/>
              </w:rPr>
              <w:fldChar w:fldCharType="end"/>
            </w:r>
          </w:hyperlink>
        </w:p>
        <w:p w14:paraId="5972B96D" w14:textId="5897E5A8" w:rsidR="009B68E8" w:rsidRDefault="009B68E8">
          <w:pPr>
            <w:pStyle w:val="Sadraj2"/>
            <w:tabs>
              <w:tab w:val="left" w:pos="960"/>
              <w:tab w:val="right" w:leader="dot" w:pos="9062"/>
            </w:tabs>
            <w:rPr>
              <w:noProof/>
              <w:kern w:val="2"/>
              <w:sz w:val="24"/>
              <w:szCs w:val="24"/>
              <w:lang w:eastAsia="zh-CN"/>
              <w14:ligatures w14:val="standardContextual"/>
            </w:rPr>
          </w:pPr>
          <w:hyperlink w:anchor="_Toc226980225" w:history="1">
            <w:r w:rsidRPr="00E71F5E">
              <w:rPr>
                <w:rStyle w:val="Hiperveza"/>
                <w:rFonts w:ascii="Times New Roman" w:hAnsi="Times New Roman" w:cs="Times New Roman"/>
                <w:noProof/>
              </w:rPr>
              <w:t>3.2.2.</w:t>
            </w:r>
            <w:r>
              <w:rPr>
                <w:noProof/>
                <w:kern w:val="2"/>
                <w:sz w:val="24"/>
                <w:szCs w:val="24"/>
                <w:lang w:eastAsia="zh-CN"/>
                <w14:ligatures w14:val="standardContextual"/>
              </w:rPr>
              <w:tab/>
            </w:r>
            <w:r w:rsidRPr="00E71F5E">
              <w:rPr>
                <w:rStyle w:val="Hiperveza"/>
                <w:rFonts w:ascii="Times New Roman" w:hAnsi="Times New Roman" w:cs="Times New Roman"/>
                <w:noProof/>
              </w:rPr>
              <w:t>Povećanje energetske učinkovitosti (ENU)</w:t>
            </w:r>
            <w:r>
              <w:rPr>
                <w:noProof/>
                <w:webHidden/>
              </w:rPr>
              <w:tab/>
            </w:r>
            <w:r>
              <w:rPr>
                <w:noProof/>
                <w:webHidden/>
              </w:rPr>
              <w:fldChar w:fldCharType="begin"/>
            </w:r>
            <w:r>
              <w:rPr>
                <w:noProof/>
                <w:webHidden/>
              </w:rPr>
              <w:instrText xml:space="preserve"> PAGEREF _Toc226980225 \h </w:instrText>
            </w:r>
            <w:r>
              <w:rPr>
                <w:noProof/>
                <w:webHidden/>
              </w:rPr>
            </w:r>
            <w:r>
              <w:rPr>
                <w:noProof/>
                <w:webHidden/>
              </w:rPr>
              <w:fldChar w:fldCharType="separate"/>
            </w:r>
            <w:r w:rsidR="00964B5D">
              <w:rPr>
                <w:noProof/>
                <w:webHidden/>
              </w:rPr>
              <w:t>8</w:t>
            </w:r>
            <w:r>
              <w:rPr>
                <w:noProof/>
                <w:webHidden/>
              </w:rPr>
              <w:fldChar w:fldCharType="end"/>
            </w:r>
          </w:hyperlink>
        </w:p>
        <w:p w14:paraId="21407DEA" w14:textId="2C080E3F" w:rsidR="009B68E8" w:rsidRDefault="009B68E8">
          <w:pPr>
            <w:pStyle w:val="Sadraj2"/>
            <w:tabs>
              <w:tab w:val="left" w:pos="960"/>
              <w:tab w:val="right" w:leader="dot" w:pos="9062"/>
            </w:tabs>
            <w:rPr>
              <w:noProof/>
              <w:kern w:val="2"/>
              <w:sz w:val="24"/>
              <w:szCs w:val="24"/>
              <w:lang w:eastAsia="zh-CN"/>
              <w14:ligatures w14:val="standardContextual"/>
            </w:rPr>
          </w:pPr>
          <w:hyperlink w:anchor="_Toc226980226" w:history="1">
            <w:r w:rsidRPr="00E71F5E">
              <w:rPr>
                <w:rStyle w:val="Hiperveza"/>
                <w:rFonts w:ascii="Times New Roman" w:hAnsi="Times New Roman" w:cs="Times New Roman"/>
                <w:noProof/>
              </w:rPr>
              <w:t>3.2.3.</w:t>
            </w:r>
            <w:r>
              <w:rPr>
                <w:noProof/>
                <w:kern w:val="2"/>
                <w:sz w:val="24"/>
                <w:szCs w:val="24"/>
                <w:lang w:eastAsia="zh-CN"/>
                <w14:ligatures w14:val="standardContextual"/>
              </w:rPr>
              <w:tab/>
            </w:r>
            <w:r w:rsidRPr="00E71F5E">
              <w:rPr>
                <w:rStyle w:val="Hiperveza"/>
                <w:rFonts w:ascii="Times New Roman" w:hAnsi="Times New Roman" w:cs="Times New Roman"/>
                <w:noProof/>
              </w:rPr>
              <w:t>Energetsko siromaštvo (ENS)</w:t>
            </w:r>
            <w:r>
              <w:rPr>
                <w:noProof/>
                <w:webHidden/>
              </w:rPr>
              <w:tab/>
            </w:r>
            <w:r>
              <w:rPr>
                <w:noProof/>
                <w:webHidden/>
              </w:rPr>
              <w:fldChar w:fldCharType="begin"/>
            </w:r>
            <w:r>
              <w:rPr>
                <w:noProof/>
                <w:webHidden/>
              </w:rPr>
              <w:instrText xml:space="preserve"> PAGEREF _Toc226980226 \h </w:instrText>
            </w:r>
            <w:r>
              <w:rPr>
                <w:noProof/>
                <w:webHidden/>
              </w:rPr>
            </w:r>
            <w:r>
              <w:rPr>
                <w:noProof/>
                <w:webHidden/>
              </w:rPr>
              <w:fldChar w:fldCharType="separate"/>
            </w:r>
            <w:r w:rsidR="00964B5D">
              <w:rPr>
                <w:noProof/>
                <w:webHidden/>
              </w:rPr>
              <w:t>9</w:t>
            </w:r>
            <w:r>
              <w:rPr>
                <w:noProof/>
                <w:webHidden/>
              </w:rPr>
              <w:fldChar w:fldCharType="end"/>
            </w:r>
          </w:hyperlink>
        </w:p>
        <w:p w14:paraId="422B4264" w14:textId="32FE69C2" w:rsidR="009B68E8" w:rsidRDefault="009B68E8">
          <w:pPr>
            <w:pStyle w:val="Sadraj2"/>
            <w:tabs>
              <w:tab w:val="left" w:pos="960"/>
              <w:tab w:val="right" w:leader="dot" w:pos="9062"/>
            </w:tabs>
            <w:rPr>
              <w:noProof/>
              <w:kern w:val="2"/>
              <w:sz w:val="24"/>
              <w:szCs w:val="24"/>
              <w:lang w:eastAsia="zh-CN"/>
              <w14:ligatures w14:val="standardContextual"/>
            </w:rPr>
          </w:pPr>
          <w:hyperlink w:anchor="_Toc226980227" w:history="1">
            <w:r w:rsidRPr="00E71F5E">
              <w:rPr>
                <w:rStyle w:val="Hiperveza"/>
                <w:rFonts w:ascii="Times New Roman" w:hAnsi="Times New Roman" w:cs="Times New Roman"/>
                <w:noProof/>
              </w:rPr>
              <w:t>3.2.4.</w:t>
            </w:r>
            <w:r>
              <w:rPr>
                <w:noProof/>
                <w:kern w:val="2"/>
                <w:sz w:val="24"/>
                <w:szCs w:val="24"/>
                <w:lang w:eastAsia="zh-CN"/>
                <w14:ligatures w14:val="standardContextual"/>
              </w:rPr>
              <w:tab/>
            </w:r>
            <w:r w:rsidRPr="00E71F5E">
              <w:rPr>
                <w:rStyle w:val="Hiperveza"/>
                <w:rFonts w:ascii="Times New Roman" w:hAnsi="Times New Roman" w:cs="Times New Roman"/>
                <w:noProof/>
              </w:rPr>
              <w:t>Smanjenje emisija stakleničkih plinova u prometu (PR)</w:t>
            </w:r>
            <w:r>
              <w:rPr>
                <w:noProof/>
                <w:webHidden/>
              </w:rPr>
              <w:tab/>
            </w:r>
            <w:r>
              <w:rPr>
                <w:noProof/>
                <w:webHidden/>
              </w:rPr>
              <w:fldChar w:fldCharType="begin"/>
            </w:r>
            <w:r>
              <w:rPr>
                <w:noProof/>
                <w:webHidden/>
              </w:rPr>
              <w:instrText xml:space="preserve"> PAGEREF _Toc226980227 \h </w:instrText>
            </w:r>
            <w:r>
              <w:rPr>
                <w:noProof/>
                <w:webHidden/>
              </w:rPr>
            </w:r>
            <w:r>
              <w:rPr>
                <w:noProof/>
                <w:webHidden/>
              </w:rPr>
              <w:fldChar w:fldCharType="separate"/>
            </w:r>
            <w:r w:rsidR="00964B5D">
              <w:rPr>
                <w:noProof/>
                <w:webHidden/>
              </w:rPr>
              <w:t>9</w:t>
            </w:r>
            <w:r>
              <w:rPr>
                <w:noProof/>
                <w:webHidden/>
              </w:rPr>
              <w:fldChar w:fldCharType="end"/>
            </w:r>
          </w:hyperlink>
        </w:p>
        <w:p w14:paraId="109EBBA4" w14:textId="663C869F" w:rsidR="009B68E8" w:rsidRDefault="009B68E8">
          <w:pPr>
            <w:pStyle w:val="Sadraj2"/>
            <w:tabs>
              <w:tab w:val="left" w:pos="960"/>
              <w:tab w:val="right" w:leader="dot" w:pos="9062"/>
            </w:tabs>
            <w:rPr>
              <w:noProof/>
              <w:kern w:val="2"/>
              <w:sz w:val="24"/>
              <w:szCs w:val="24"/>
              <w:lang w:eastAsia="zh-CN"/>
              <w14:ligatures w14:val="standardContextual"/>
            </w:rPr>
          </w:pPr>
          <w:hyperlink w:anchor="_Toc226980228" w:history="1">
            <w:r w:rsidRPr="00E71F5E">
              <w:rPr>
                <w:rStyle w:val="Hiperveza"/>
                <w:rFonts w:ascii="Times New Roman" w:hAnsi="Times New Roman" w:cs="Times New Roman"/>
                <w:noProof/>
              </w:rPr>
              <w:t>3.2.5.</w:t>
            </w:r>
            <w:r>
              <w:rPr>
                <w:noProof/>
                <w:kern w:val="2"/>
                <w:sz w:val="24"/>
                <w:szCs w:val="24"/>
                <w:lang w:eastAsia="zh-CN"/>
                <w14:ligatures w14:val="standardContextual"/>
              </w:rPr>
              <w:tab/>
            </w:r>
            <w:r w:rsidRPr="00E71F5E">
              <w:rPr>
                <w:rStyle w:val="Hiperveza"/>
                <w:rFonts w:ascii="Times New Roman" w:hAnsi="Times New Roman" w:cs="Times New Roman"/>
                <w:noProof/>
              </w:rPr>
              <w:t>Smanjenje emisije stakleničkih plinova u neenergetskim sektorima (NES/OT)</w:t>
            </w:r>
            <w:r>
              <w:rPr>
                <w:noProof/>
                <w:webHidden/>
              </w:rPr>
              <w:tab/>
            </w:r>
            <w:r>
              <w:rPr>
                <w:noProof/>
                <w:webHidden/>
              </w:rPr>
              <w:fldChar w:fldCharType="begin"/>
            </w:r>
            <w:r>
              <w:rPr>
                <w:noProof/>
                <w:webHidden/>
              </w:rPr>
              <w:instrText xml:space="preserve"> PAGEREF _Toc226980228 \h </w:instrText>
            </w:r>
            <w:r>
              <w:rPr>
                <w:noProof/>
                <w:webHidden/>
              </w:rPr>
            </w:r>
            <w:r>
              <w:rPr>
                <w:noProof/>
                <w:webHidden/>
              </w:rPr>
              <w:fldChar w:fldCharType="separate"/>
            </w:r>
            <w:r w:rsidR="00964B5D">
              <w:rPr>
                <w:noProof/>
                <w:webHidden/>
              </w:rPr>
              <w:t>10</w:t>
            </w:r>
            <w:r>
              <w:rPr>
                <w:noProof/>
                <w:webHidden/>
              </w:rPr>
              <w:fldChar w:fldCharType="end"/>
            </w:r>
          </w:hyperlink>
        </w:p>
        <w:p w14:paraId="349136BB" w14:textId="5BE4E315" w:rsidR="009B68E8" w:rsidRDefault="009B68E8">
          <w:pPr>
            <w:pStyle w:val="Sadraj2"/>
            <w:tabs>
              <w:tab w:val="left" w:pos="960"/>
              <w:tab w:val="right" w:leader="dot" w:pos="9062"/>
            </w:tabs>
            <w:rPr>
              <w:noProof/>
              <w:kern w:val="2"/>
              <w:sz w:val="24"/>
              <w:szCs w:val="24"/>
              <w:lang w:eastAsia="zh-CN"/>
              <w14:ligatures w14:val="standardContextual"/>
            </w:rPr>
          </w:pPr>
          <w:hyperlink w:anchor="_Toc226980229" w:history="1">
            <w:r w:rsidRPr="00E71F5E">
              <w:rPr>
                <w:rStyle w:val="Hiperveza"/>
                <w:rFonts w:ascii="Times New Roman" w:hAnsi="Times New Roman" w:cs="Times New Roman"/>
                <w:noProof/>
              </w:rPr>
              <w:t>3.2.6.</w:t>
            </w:r>
            <w:r>
              <w:rPr>
                <w:noProof/>
                <w:kern w:val="2"/>
                <w:sz w:val="24"/>
                <w:szCs w:val="24"/>
                <w:lang w:eastAsia="zh-CN"/>
                <w14:ligatures w14:val="standardContextual"/>
              </w:rPr>
              <w:tab/>
            </w:r>
            <w:r w:rsidRPr="00E71F5E">
              <w:rPr>
                <w:rStyle w:val="Hiperveza"/>
                <w:rFonts w:ascii="Times New Roman" w:hAnsi="Times New Roman" w:cs="Times New Roman"/>
                <w:noProof/>
              </w:rPr>
              <w:t>Projekti ESI fondova i prioritetne mjere prilagodbe klimatskim promjenama (ESIF)</w:t>
            </w:r>
            <w:r>
              <w:rPr>
                <w:noProof/>
                <w:webHidden/>
              </w:rPr>
              <w:tab/>
            </w:r>
            <w:r>
              <w:rPr>
                <w:noProof/>
                <w:webHidden/>
              </w:rPr>
              <w:fldChar w:fldCharType="begin"/>
            </w:r>
            <w:r>
              <w:rPr>
                <w:noProof/>
                <w:webHidden/>
              </w:rPr>
              <w:instrText xml:space="preserve"> PAGEREF _Toc226980229 \h </w:instrText>
            </w:r>
            <w:r>
              <w:rPr>
                <w:noProof/>
                <w:webHidden/>
              </w:rPr>
            </w:r>
            <w:r>
              <w:rPr>
                <w:noProof/>
                <w:webHidden/>
              </w:rPr>
              <w:fldChar w:fldCharType="separate"/>
            </w:r>
            <w:r w:rsidR="00964B5D">
              <w:rPr>
                <w:noProof/>
                <w:webHidden/>
              </w:rPr>
              <w:t>10</w:t>
            </w:r>
            <w:r>
              <w:rPr>
                <w:noProof/>
                <w:webHidden/>
              </w:rPr>
              <w:fldChar w:fldCharType="end"/>
            </w:r>
          </w:hyperlink>
        </w:p>
        <w:p w14:paraId="41ED6798" w14:textId="53F25344" w:rsidR="009B68E8" w:rsidRDefault="009B68E8">
          <w:pPr>
            <w:pStyle w:val="Sadraj2"/>
            <w:tabs>
              <w:tab w:val="left" w:pos="960"/>
              <w:tab w:val="right" w:leader="dot" w:pos="9062"/>
            </w:tabs>
            <w:rPr>
              <w:noProof/>
              <w:kern w:val="2"/>
              <w:sz w:val="24"/>
              <w:szCs w:val="24"/>
              <w:lang w:eastAsia="zh-CN"/>
              <w14:ligatures w14:val="standardContextual"/>
            </w:rPr>
          </w:pPr>
          <w:hyperlink w:anchor="_Toc226980230" w:history="1">
            <w:r w:rsidRPr="00E71F5E">
              <w:rPr>
                <w:rStyle w:val="Hiperveza"/>
                <w:rFonts w:ascii="Times New Roman" w:hAnsi="Times New Roman" w:cs="Times New Roman"/>
                <w:noProof/>
              </w:rPr>
              <w:t>3.2.7.</w:t>
            </w:r>
            <w:r>
              <w:rPr>
                <w:noProof/>
                <w:kern w:val="2"/>
                <w:sz w:val="24"/>
                <w:szCs w:val="24"/>
                <w:lang w:eastAsia="zh-CN"/>
                <w14:ligatures w14:val="standardContextual"/>
              </w:rPr>
              <w:tab/>
            </w:r>
            <w:r w:rsidRPr="00E71F5E">
              <w:rPr>
                <w:rStyle w:val="Hiperveza"/>
                <w:rFonts w:ascii="Times New Roman" w:hAnsi="Times New Roman" w:cs="Times New Roman"/>
                <w:noProof/>
              </w:rPr>
              <w:t>Istraživanje i razvoj te stručna podrška (IR)</w:t>
            </w:r>
            <w:r>
              <w:rPr>
                <w:noProof/>
                <w:webHidden/>
              </w:rPr>
              <w:tab/>
            </w:r>
            <w:r>
              <w:rPr>
                <w:noProof/>
                <w:webHidden/>
              </w:rPr>
              <w:fldChar w:fldCharType="begin"/>
            </w:r>
            <w:r>
              <w:rPr>
                <w:noProof/>
                <w:webHidden/>
              </w:rPr>
              <w:instrText xml:space="preserve"> PAGEREF _Toc226980230 \h </w:instrText>
            </w:r>
            <w:r>
              <w:rPr>
                <w:noProof/>
                <w:webHidden/>
              </w:rPr>
            </w:r>
            <w:r>
              <w:rPr>
                <w:noProof/>
                <w:webHidden/>
              </w:rPr>
              <w:fldChar w:fldCharType="separate"/>
            </w:r>
            <w:r w:rsidR="00964B5D">
              <w:rPr>
                <w:noProof/>
                <w:webHidden/>
              </w:rPr>
              <w:t>13</w:t>
            </w:r>
            <w:r>
              <w:rPr>
                <w:noProof/>
                <w:webHidden/>
              </w:rPr>
              <w:fldChar w:fldCharType="end"/>
            </w:r>
          </w:hyperlink>
        </w:p>
        <w:p w14:paraId="4BAC0CE2" w14:textId="1E43D39D" w:rsidR="009B68E8" w:rsidRDefault="009B68E8">
          <w:pPr>
            <w:pStyle w:val="Sadraj2"/>
            <w:tabs>
              <w:tab w:val="left" w:pos="960"/>
              <w:tab w:val="right" w:leader="dot" w:pos="9062"/>
            </w:tabs>
            <w:rPr>
              <w:noProof/>
              <w:kern w:val="2"/>
              <w:sz w:val="24"/>
              <w:szCs w:val="24"/>
              <w:lang w:eastAsia="zh-CN"/>
              <w14:ligatures w14:val="standardContextual"/>
            </w:rPr>
          </w:pPr>
          <w:hyperlink w:anchor="_Toc226980231" w:history="1">
            <w:r w:rsidRPr="00E71F5E">
              <w:rPr>
                <w:rStyle w:val="Hiperveza"/>
                <w:rFonts w:ascii="Times New Roman" w:hAnsi="Times New Roman" w:cs="Times New Roman"/>
                <w:noProof/>
              </w:rPr>
              <w:t>3.2.8.</w:t>
            </w:r>
            <w:r>
              <w:rPr>
                <w:noProof/>
                <w:kern w:val="2"/>
                <w:sz w:val="24"/>
                <w:szCs w:val="24"/>
                <w:lang w:eastAsia="zh-CN"/>
                <w14:ligatures w14:val="standardContextual"/>
              </w:rPr>
              <w:tab/>
            </w:r>
            <w:r w:rsidRPr="00E71F5E">
              <w:rPr>
                <w:rStyle w:val="Hiperveza"/>
                <w:rFonts w:ascii="Times New Roman" w:hAnsi="Times New Roman" w:cs="Times New Roman"/>
                <w:noProof/>
              </w:rPr>
              <w:t>Centri za gospodarenje otpadom (CGO)</w:t>
            </w:r>
            <w:r>
              <w:rPr>
                <w:noProof/>
                <w:webHidden/>
              </w:rPr>
              <w:tab/>
            </w:r>
            <w:r>
              <w:rPr>
                <w:noProof/>
                <w:webHidden/>
              </w:rPr>
              <w:fldChar w:fldCharType="begin"/>
            </w:r>
            <w:r>
              <w:rPr>
                <w:noProof/>
                <w:webHidden/>
              </w:rPr>
              <w:instrText xml:space="preserve"> PAGEREF _Toc226980231 \h </w:instrText>
            </w:r>
            <w:r>
              <w:rPr>
                <w:noProof/>
                <w:webHidden/>
              </w:rPr>
            </w:r>
            <w:r>
              <w:rPr>
                <w:noProof/>
                <w:webHidden/>
              </w:rPr>
              <w:fldChar w:fldCharType="separate"/>
            </w:r>
            <w:r w:rsidR="00964B5D">
              <w:rPr>
                <w:noProof/>
                <w:webHidden/>
              </w:rPr>
              <w:t>14</w:t>
            </w:r>
            <w:r>
              <w:rPr>
                <w:noProof/>
                <w:webHidden/>
              </w:rPr>
              <w:fldChar w:fldCharType="end"/>
            </w:r>
          </w:hyperlink>
        </w:p>
        <w:p w14:paraId="22770BB3" w14:textId="1F653CCB" w:rsidR="009B68E8" w:rsidRDefault="009B68E8">
          <w:pPr>
            <w:pStyle w:val="Sadraj2"/>
            <w:tabs>
              <w:tab w:val="left" w:pos="960"/>
              <w:tab w:val="right" w:leader="dot" w:pos="9062"/>
            </w:tabs>
            <w:rPr>
              <w:noProof/>
              <w:kern w:val="2"/>
              <w:sz w:val="24"/>
              <w:szCs w:val="24"/>
              <w:lang w:eastAsia="zh-CN"/>
              <w14:ligatures w14:val="standardContextual"/>
            </w:rPr>
          </w:pPr>
          <w:hyperlink w:anchor="_Toc226980232" w:history="1">
            <w:r w:rsidRPr="00E71F5E">
              <w:rPr>
                <w:rStyle w:val="Hiperveza"/>
                <w:rFonts w:ascii="Times New Roman" w:hAnsi="Times New Roman" w:cs="Times New Roman"/>
                <w:noProof/>
              </w:rPr>
              <w:t>3.3.</w:t>
            </w:r>
            <w:r>
              <w:rPr>
                <w:noProof/>
                <w:kern w:val="2"/>
                <w:sz w:val="24"/>
                <w:szCs w:val="24"/>
                <w:lang w:eastAsia="zh-CN"/>
                <w14:ligatures w14:val="standardContextual"/>
              </w:rPr>
              <w:tab/>
            </w:r>
            <w:r w:rsidRPr="00E71F5E">
              <w:rPr>
                <w:rStyle w:val="Hiperveza"/>
                <w:rFonts w:ascii="Times New Roman" w:hAnsi="Times New Roman" w:cs="Times New Roman"/>
                <w:noProof/>
              </w:rPr>
              <w:t>Zaključak korištenja sredstava iz Plana I.</w:t>
            </w:r>
            <w:r>
              <w:rPr>
                <w:noProof/>
                <w:webHidden/>
              </w:rPr>
              <w:tab/>
            </w:r>
            <w:r>
              <w:rPr>
                <w:noProof/>
                <w:webHidden/>
              </w:rPr>
              <w:fldChar w:fldCharType="begin"/>
            </w:r>
            <w:r>
              <w:rPr>
                <w:noProof/>
                <w:webHidden/>
              </w:rPr>
              <w:instrText xml:space="preserve"> PAGEREF _Toc226980232 \h </w:instrText>
            </w:r>
            <w:r>
              <w:rPr>
                <w:noProof/>
                <w:webHidden/>
              </w:rPr>
            </w:r>
            <w:r>
              <w:rPr>
                <w:noProof/>
                <w:webHidden/>
              </w:rPr>
              <w:fldChar w:fldCharType="separate"/>
            </w:r>
            <w:r w:rsidR="00964B5D">
              <w:rPr>
                <w:noProof/>
                <w:webHidden/>
              </w:rPr>
              <w:t>14</w:t>
            </w:r>
            <w:r>
              <w:rPr>
                <w:noProof/>
                <w:webHidden/>
              </w:rPr>
              <w:fldChar w:fldCharType="end"/>
            </w:r>
          </w:hyperlink>
        </w:p>
        <w:p w14:paraId="4C08A473" w14:textId="097AABDD" w:rsidR="009B68E8" w:rsidRDefault="009B68E8">
          <w:pPr>
            <w:pStyle w:val="Sadraj1"/>
            <w:tabs>
              <w:tab w:val="left" w:pos="440"/>
              <w:tab w:val="right" w:leader="dot" w:pos="9062"/>
            </w:tabs>
            <w:rPr>
              <w:rFonts w:asciiTheme="minorHAnsi" w:eastAsiaTheme="minorEastAsia" w:hAnsiTheme="minorHAnsi" w:cstheme="minorBidi"/>
              <w:noProof/>
              <w:kern w:val="2"/>
              <w:lang w:eastAsia="zh-CN"/>
              <w14:ligatures w14:val="standardContextual"/>
            </w:rPr>
          </w:pPr>
          <w:hyperlink w:anchor="_Toc226980233" w:history="1">
            <w:r w:rsidRPr="00E71F5E">
              <w:rPr>
                <w:rStyle w:val="Hiperveza"/>
                <w:noProof/>
              </w:rPr>
              <w:t>4.</w:t>
            </w:r>
            <w:r>
              <w:rPr>
                <w:rFonts w:asciiTheme="minorHAnsi" w:eastAsiaTheme="minorEastAsia" w:hAnsiTheme="minorHAnsi" w:cstheme="minorBidi"/>
                <w:noProof/>
                <w:kern w:val="2"/>
                <w:lang w:eastAsia="zh-CN"/>
                <w14:ligatures w14:val="standardContextual"/>
              </w:rPr>
              <w:tab/>
            </w:r>
            <w:r w:rsidRPr="00E71F5E">
              <w:rPr>
                <w:rStyle w:val="Hiperveza"/>
                <w:noProof/>
              </w:rPr>
              <w:t>Plan korištenja financijskih sredstava dobivenih od prodaje emisijskih jedinica putem dražbi u Republici Hrvatskoj od 2021. do 2025. godine – Plan II</w:t>
            </w:r>
            <w:r>
              <w:rPr>
                <w:noProof/>
                <w:webHidden/>
              </w:rPr>
              <w:tab/>
            </w:r>
            <w:r>
              <w:rPr>
                <w:noProof/>
                <w:webHidden/>
              </w:rPr>
              <w:fldChar w:fldCharType="begin"/>
            </w:r>
            <w:r>
              <w:rPr>
                <w:noProof/>
                <w:webHidden/>
              </w:rPr>
              <w:instrText xml:space="preserve"> PAGEREF _Toc226980233 \h </w:instrText>
            </w:r>
            <w:r>
              <w:rPr>
                <w:noProof/>
                <w:webHidden/>
              </w:rPr>
            </w:r>
            <w:r>
              <w:rPr>
                <w:noProof/>
                <w:webHidden/>
              </w:rPr>
              <w:fldChar w:fldCharType="separate"/>
            </w:r>
            <w:r w:rsidR="00964B5D">
              <w:rPr>
                <w:noProof/>
                <w:webHidden/>
              </w:rPr>
              <w:t>17</w:t>
            </w:r>
            <w:r>
              <w:rPr>
                <w:noProof/>
                <w:webHidden/>
              </w:rPr>
              <w:fldChar w:fldCharType="end"/>
            </w:r>
          </w:hyperlink>
        </w:p>
        <w:p w14:paraId="0299A221" w14:textId="5EF3F40B" w:rsidR="009B68E8" w:rsidRDefault="009B68E8">
          <w:pPr>
            <w:pStyle w:val="Sadraj2"/>
            <w:tabs>
              <w:tab w:val="right" w:leader="dot" w:pos="9062"/>
            </w:tabs>
            <w:rPr>
              <w:noProof/>
              <w:kern w:val="2"/>
              <w:sz w:val="24"/>
              <w:szCs w:val="24"/>
              <w:lang w:eastAsia="zh-CN"/>
              <w14:ligatures w14:val="standardContextual"/>
            </w:rPr>
          </w:pPr>
          <w:hyperlink w:anchor="_Toc226980234" w:history="1">
            <w:r w:rsidRPr="00E71F5E">
              <w:rPr>
                <w:rStyle w:val="Hiperveza"/>
                <w:rFonts w:ascii="Times New Roman" w:hAnsi="Times New Roman" w:cs="Times New Roman"/>
                <w:noProof/>
              </w:rPr>
              <w:t>4.1.  Rashodi sredstava od dražbi u 2023. i 2024. godini sukladno Planu II</w:t>
            </w:r>
            <w:r>
              <w:rPr>
                <w:noProof/>
                <w:webHidden/>
              </w:rPr>
              <w:tab/>
            </w:r>
            <w:r>
              <w:rPr>
                <w:noProof/>
                <w:webHidden/>
              </w:rPr>
              <w:fldChar w:fldCharType="begin"/>
            </w:r>
            <w:r>
              <w:rPr>
                <w:noProof/>
                <w:webHidden/>
              </w:rPr>
              <w:instrText xml:space="preserve"> PAGEREF _Toc226980234 \h </w:instrText>
            </w:r>
            <w:r>
              <w:rPr>
                <w:noProof/>
                <w:webHidden/>
              </w:rPr>
            </w:r>
            <w:r>
              <w:rPr>
                <w:noProof/>
                <w:webHidden/>
              </w:rPr>
              <w:fldChar w:fldCharType="separate"/>
            </w:r>
            <w:r w:rsidR="00964B5D">
              <w:rPr>
                <w:noProof/>
                <w:webHidden/>
              </w:rPr>
              <w:t>17</w:t>
            </w:r>
            <w:r>
              <w:rPr>
                <w:noProof/>
                <w:webHidden/>
              </w:rPr>
              <w:fldChar w:fldCharType="end"/>
            </w:r>
          </w:hyperlink>
        </w:p>
        <w:p w14:paraId="5AED7100" w14:textId="4E85F18C" w:rsidR="009B68E8" w:rsidRDefault="009B68E8">
          <w:pPr>
            <w:pStyle w:val="Sadraj2"/>
            <w:tabs>
              <w:tab w:val="right" w:leader="dot" w:pos="9062"/>
            </w:tabs>
            <w:rPr>
              <w:noProof/>
              <w:kern w:val="2"/>
              <w:sz w:val="24"/>
              <w:szCs w:val="24"/>
              <w:lang w:eastAsia="zh-CN"/>
              <w14:ligatures w14:val="standardContextual"/>
            </w:rPr>
          </w:pPr>
          <w:hyperlink w:anchor="_Toc226980235" w:history="1">
            <w:r w:rsidRPr="00E71F5E">
              <w:rPr>
                <w:rStyle w:val="Hiperveza"/>
                <w:rFonts w:ascii="Times New Roman" w:hAnsi="Times New Roman" w:cs="Times New Roman"/>
                <w:noProof/>
              </w:rPr>
              <w:t>4.2. Opis korištenja financijskih sredstava dobivenih od prodaje emisijskih jedinica stakleničkih plinova putem dražbi po projektima i po prioritetnim mjerama sukladno Planu II.</w:t>
            </w:r>
            <w:r>
              <w:rPr>
                <w:noProof/>
                <w:webHidden/>
              </w:rPr>
              <w:tab/>
            </w:r>
            <w:r>
              <w:rPr>
                <w:noProof/>
                <w:webHidden/>
              </w:rPr>
              <w:fldChar w:fldCharType="begin"/>
            </w:r>
            <w:r>
              <w:rPr>
                <w:noProof/>
                <w:webHidden/>
              </w:rPr>
              <w:instrText xml:space="preserve"> PAGEREF _Toc226980235 \h </w:instrText>
            </w:r>
            <w:r>
              <w:rPr>
                <w:noProof/>
                <w:webHidden/>
              </w:rPr>
            </w:r>
            <w:r>
              <w:rPr>
                <w:noProof/>
                <w:webHidden/>
              </w:rPr>
              <w:fldChar w:fldCharType="separate"/>
            </w:r>
            <w:r w:rsidR="00964B5D">
              <w:rPr>
                <w:noProof/>
                <w:webHidden/>
              </w:rPr>
              <w:t>21</w:t>
            </w:r>
            <w:r>
              <w:rPr>
                <w:noProof/>
                <w:webHidden/>
              </w:rPr>
              <w:fldChar w:fldCharType="end"/>
            </w:r>
          </w:hyperlink>
        </w:p>
        <w:p w14:paraId="621502DD" w14:textId="55401EDA" w:rsidR="009B68E8" w:rsidRDefault="009B68E8">
          <w:pPr>
            <w:pStyle w:val="Sadraj3"/>
            <w:tabs>
              <w:tab w:val="right" w:leader="dot" w:pos="9062"/>
            </w:tabs>
            <w:rPr>
              <w:noProof/>
              <w:kern w:val="2"/>
              <w:sz w:val="24"/>
              <w:szCs w:val="24"/>
              <w:lang w:eastAsia="zh-CN"/>
              <w14:ligatures w14:val="standardContextual"/>
            </w:rPr>
          </w:pPr>
          <w:hyperlink w:anchor="_Toc226980236" w:history="1">
            <w:r w:rsidRPr="00E71F5E">
              <w:rPr>
                <w:rStyle w:val="Hiperveza"/>
                <w:rFonts w:eastAsiaTheme="majorEastAsia" w:cstheme="majorBidi"/>
                <w:b/>
                <w:noProof/>
              </w:rPr>
              <w:t>4.2.1. Niskougljična energetska tranzicija (NuET)</w:t>
            </w:r>
            <w:r>
              <w:rPr>
                <w:noProof/>
                <w:webHidden/>
              </w:rPr>
              <w:tab/>
            </w:r>
            <w:r>
              <w:rPr>
                <w:noProof/>
                <w:webHidden/>
              </w:rPr>
              <w:fldChar w:fldCharType="begin"/>
            </w:r>
            <w:r>
              <w:rPr>
                <w:noProof/>
                <w:webHidden/>
              </w:rPr>
              <w:instrText xml:space="preserve"> PAGEREF _Toc226980236 \h </w:instrText>
            </w:r>
            <w:r>
              <w:rPr>
                <w:noProof/>
                <w:webHidden/>
              </w:rPr>
            </w:r>
            <w:r>
              <w:rPr>
                <w:noProof/>
                <w:webHidden/>
              </w:rPr>
              <w:fldChar w:fldCharType="separate"/>
            </w:r>
            <w:r w:rsidR="00964B5D">
              <w:rPr>
                <w:noProof/>
                <w:webHidden/>
              </w:rPr>
              <w:t>21</w:t>
            </w:r>
            <w:r>
              <w:rPr>
                <w:noProof/>
                <w:webHidden/>
              </w:rPr>
              <w:fldChar w:fldCharType="end"/>
            </w:r>
          </w:hyperlink>
        </w:p>
        <w:p w14:paraId="5B1BBE69" w14:textId="676AE08E" w:rsidR="009B68E8" w:rsidRDefault="009B68E8">
          <w:pPr>
            <w:pStyle w:val="Sadraj3"/>
            <w:tabs>
              <w:tab w:val="right" w:leader="dot" w:pos="9062"/>
            </w:tabs>
            <w:rPr>
              <w:noProof/>
              <w:kern w:val="2"/>
              <w:sz w:val="24"/>
              <w:szCs w:val="24"/>
              <w:lang w:eastAsia="zh-CN"/>
              <w14:ligatures w14:val="standardContextual"/>
            </w:rPr>
          </w:pPr>
          <w:hyperlink w:anchor="_Toc226980237" w:history="1">
            <w:r w:rsidRPr="00E71F5E">
              <w:rPr>
                <w:rStyle w:val="Hiperveza"/>
                <w:rFonts w:eastAsiaTheme="majorEastAsia" w:cstheme="majorBidi"/>
                <w:b/>
                <w:noProof/>
              </w:rPr>
              <w:t>4.2.2. Neenergetski sektor (uključujući sektor gospodarenja otpadom) (NES i OT)</w:t>
            </w:r>
            <w:r>
              <w:rPr>
                <w:noProof/>
                <w:webHidden/>
              </w:rPr>
              <w:tab/>
            </w:r>
            <w:r>
              <w:rPr>
                <w:noProof/>
                <w:webHidden/>
              </w:rPr>
              <w:fldChar w:fldCharType="begin"/>
            </w:r>
            <w:r>
              <w:rPr>
                <w:noProof/>
                <w:webHidden/>
              </w:rPr>
              <w:instrText xml:space="preserve"> PAGEREF _Toc226980237 \h </w:instrText>
            </w:r>
            <w:r>
              <w:rPr>
                <w:noProof/>
                <w:webHidden/>
              </w:rPr>
            </w:r>
            <w:r>
              <w:rPr>
                <w:noProof/>
                <w:webHidden/>
              </w:rPr>
              <w:fldChar w:fldCharType="separate"/>
            </w:r>
            <w:r w:rsidR="00964B5D">
              <w:rPr>
                <w:noProof/>
                <w:webHidden/>
              </w:rPr>
              <w:t>25</w:t>
            </w:r>
            <w:r>
              <w:rPr>
                <w:noProof/>
                <w:webHidden/>
              </w:rPr>
              <w:fldChar w:fldCharType="end"/>
            </w:r>
          </w:hyperlink>
        </w:p>
        <w:p w14:paraId="5264B216" w14:textId="45399BA9" w:rsidR="009B68E8" w:rsidRDefault="009B68E8">
          <w:pPr>
            <w:pStyle w:val="Sadraj3"/>
            <w:tabs>
              <w:tab w:val="right" w:leader="dot" w:pos="9062"/>
            </w:tabs>
            <w:rPr>
              <w:noProof/>
              <w:kern w:val="2"/>
              <w:sz w:val="24"/>
              <w:szCs w:val="24"/>
              <w:lang w:eastAsia="zh-CN"/>
              <w14:ligatures w14:val="standardContextual"/>
            </w:rPr>
          </w:pPr>
          <w:hyperlink w:anchor="_Toc226980238" w:history="1">
            <w:r w:rsidRPr="00E71F5E">
              <w:rPr>
                <w:rStyle w:val="Hiperveza"/>
                <w:rFonts w:eastAsiaTheme="majorEastAsia" w:cstheme="majorBidi"/>
                <w:b/>
                <w:noProof/>
              </w:rPr>
              <w:t>4.2.3. Prilagodba klimatskim promjenama</w:t>
            </w:r>
            <w:r>
              <w:rPr>
                <w:noProof/>
                <w:webHidden/>
              </w:rPr>
              <w:tab/>
            </w:r>
            <w:r>
              <w:rPr>
                <w:noProof/>
                <w:webHidden/>
              </w:rPr>
              <w:fldChar w:fldCharType="begin"/>
            </w:r>
            <w:r>
              <w:rPr>
                <w:noProof/>
                <w:webHidden/>
              </w:rPr>
              <w:instrText xml:space="preserve"> PAGEREF _Toc226980238 \h </w:instrText>
            </w:r>
            <w:r>
              <w:rPr>
                <w:noProof/>
                <w:webHidden/>
              </w:rPr>
            </w:r>
            <w:r>
              <w:rPr>
                <w:noProof/>
                <w:webHidden/>
              </w:rPr>
              <w:fldChar w:fldCharType="separate"/>
            </w:r>
            <w:r w:rsidR="00964B5D">
              <w:rPr>
                <w:noProof/>
                <w:webHidden/>
              </w:rPr>
              <w:t>27</w:t>
            </w:r>
            <w:r>
              <w:rPr>
                <w:noProof/>
                <w:webHidden/>
              </w:rPr>
              <w:fldChar w:fldCharType="end"/>
            </w:r>
          </w:hyperlink>
        </w:p>
        <w:p w14:paraId="7C10DE10" w14:textId="2AC74A66" w:rsidR="009B68E8" w:rsidRDefault="009B68E8">
          <w:pPr>
            <w:pStyle w:val="Sadraj3"/>
            <w:tabs>
              <w:tab w:val="right" w:leader="dot" w:pos="9062"/>
            </w:tabs>
            <w:rPr>
              <w:noProof/>
              <w:kern w:val="2"/>
              <w:sz w:val="24"/>
              <w:szCs w:val="24"/>
              <w:lang w:eastAsia="zh-CN"/>
              <w14:ligatures w14:val="standardContextual"/>
            </w:rPr>
          </w:pPr>
          <w:hyperlink w:anchor="_Toc226980239" w:history="1">
            <w:r w:rsidRPr="00E71F5E">
              <w:rPr>
                <w:rStyle w:val="Hiperveza"/>
                <w:rFonts w:eastAsiaTheme="majorEastAsia" w:cstheme="majorBidi"/>
                <w:b/>
                <w:noProof/>
              </w:rPr>
              <w:t>4.2.4. Istraživanje i razvoj, stručna podrška i projekti s trećim zemljama (IR)</w:t>
            </w:r>
            <w:r>
              <w:rPr>
                <w:noProof/>
                <w:webHidden/>
              </w:rPr>
              <w:tab/>
            </w:r>
            <w:r>
              <w:rPr>
                <w:noProof/>
                <w:webHidden/>
              </w:rPr>
              <w:fldChar w:fldCharType="begin"/>
            </w:r>
            <w:r>
              <w:rPr>
                <w:noProof/>
                <w:webHidden/>
              </w:rPr>
              <w:instrText xml:space="preserve"> PAGEREF _Toc226980239 \h </w:instrText>
            </w:r>
            <w:r>
              <w:rPr>
                <w:noProof/>
                <w:webHidden/>
              </w:rPr>
            </w:r>
            <w:r>
              <w:rPr>
                <w:noProof/>
                <w:webHidden/>
              </w:rPr>
              <w:fldChar w:fldCharType="separate"/>
            </w:r>
            <w:r w:rsidR="00964B5D">
              <w:rPr>
                <w:noProof/>
                <w:webHidden/>
              </w:rPr>
              <w:t>30</w:t>
            </w:r>
            <w:r>
              <w:rPr>
                <w:noProof/>
                <w:webHidden/>
              </w:rPr>
              <w:fldChar w:fldCharType="end"/>
            </w:r>
          </w:hyperlink>
        </w:p>
        <w:p w14:paraId="2E24177B" w14:textId="0E74E38A" w:rsidR="009B68E8" w:rsidRDefault="009B68E8">
          <w:pPr>
            <w:pStyle w:val="Sadraj2"/>
            <w:tabs>
              <w:tab w:val="right" w:leader="dot" w:pos="9062"/>
            </w:tabs>
            <w:rPr>
              <w:noProof/>
              <w:kern w:val="2"/>
              <w:sz w:val="24"/>
              <w:szCs w:val="24"/>
              <w:lang w:eastAsia="zh-CN"/>
              <w14:ligatures w14:val="standardContextual"/>
            </w:rPr>
          </w:pPr>
          <w:hyperlink w:anchor="_Toc226980240" w:history="1">
            <w:r w:rsidRPr="00E71F5E">
              <w:rPr>
                <w:rStyle w:val="Hiperveza"/>
                <w:rFonts w:ascii="Times New Roman" w:hAnsi="Times New Roman" w:cs="Times New Roman"/>
                <w:noProof/>
              </w:rPr>
              <w:t>4.3. Zaključak korištenja sredstava iz Plana II.</w:t>
            </w:r>
            <w:r>
              <w:rPr>
                <w:noProof/>
                <w:webHidden/>
              </w:rPr>
              <w:tab/>
            </w:r>
            <w:r>
              <w:rPr>
                <w:noProof/>
                <w:webHidden/>
              </w:rPr>
              <w:fldChar w:fldCharType="begin"/>
            </w:r>
            <w:r>
              <w:rPr>
                <w:noProof/>
                <w:webHidden/>
              </w:rPr>
              <w:instrText xml:space="preserve"> PAGEREF _Toc226980240 \h </w:instrText>
            </w:r>
            <w:r>
              <w:rPr>
                <w:noProof/>
                <w:webHidden/>
              </w:rPr>
            </w:r>
            <w:r>
              <w:rPr>
                <w:noProof/>
                <w:webHidden/>
              </w:rPr>
              <w:fldChar w:fldCharType="separate"/>
            </w:r>
            <w:r w:rsidR="00964B5D">
              <w:rPr>
                <w:noProof/>
                <w:webHidden/>
              </w:rPr>
              <w:t>32</w:t>
            </w:r>
            <w:r>
              <w:rPr>
                <w:noProof/>
                <w:webHidden/>
              </w:rPr>
              <w:fldChar w:fldCharType="end"/>
            </w:r>
          </w:hyperlink>
        </w:p>
        <w:p w14:paraId="4E4CA5FD" w14:textId="39A59357" w:rsidR="0017583B" w:rsidRDefault="0017583B">
          <w:r w:rsidRPr="00EC2687">
            <w:fldChar w:fldCharType="end"/>
          </w:r>
        </w:p>
      </w:sdtContent>
    </w:sdt>
    <w:p w14:paraId="72BFDE4B" w14:textId="77777777" w:rsidR="0017583B" w:rsidRDefault="0017583B" w:rsidP="00733C58">
      <w:pPr>
        <w:jc w:val="center"/>
        <w:rPr>
          <w:b/>
        </w:rPr>
      </w:pPr>
    </w:p>
    <w:p w14:paraId="3D36CA6D" w14:textId="77777777" w:rsidR="001F6BC6" w:rsidRDefault="001F6BC6" w:rsidP="00733C58">
      <w:pPr>
        <w:jc w:val="center"/>
        <w:rPr>
          <w:b/>
        </w:rPr>
      </w:pPr>
    </w:p>
    <w:p w14:paraId="76AAB8A5" w14:textId="77777777" w:rsidR="0017583B" w:rsidRDefault="0017583B" w:rsidP="00733C58">
      <w:pPr>
        <w:jc w:val="center"/>
        <w:rPr>
          <w:b/>
        </w:rPr>
      </w:pPr>
    </w:p>
    <w:p w14:paraId="2AB853A0" w14:textId="77777777" w:rsidR="0017583B" w:rsidRDefault="0017583B" w:rsidP="00733C58">
      <w:pPr>
        <w:jc w:val="center"/>
        <w:rPr>
          <w:b/>
        </w:rPr>
      </w:pPr>
    </w:p>
    <w:p w14:paraId="1DD7A1AE" w14:textId="77777777" w:rsidR="0017583B" w:rsidRDefault="0017583B" w:rsidP="00733C58">
      <w:pPr>
        <w:jc w:val="center"/>
        <w:rPr>
          <w:b/>
        </w:rPr>
      </w:pPr>
    </w:p>
    <w:p w14:paraId="1EF9991A" w14:textId="77777777" w:rsidR="001F6BC6" w:rsidRDefault="001F6BC6" w:rsidP="001F6BC6">
      <w:pPr>
        <w:pStyle w:val="Naslov1"/>
      </w:pPr>
      <w:bookmarkStart w:id="0" w:name="_Toc226980219"/>
      <w:r w:rsidRPr="001F6BC6">
        <w:lastRenderedPageBreak/>
        <w:t>Sažetak</w:t>
      </w:r>
      <w:bookmarkEnd w:id="0"/>
    </w:p>
    <w:p w14:paraId="77EA6C28" w14:textId="77777777" w:rsidR="001F6BC6" w:rsidRPr="0000007B" w:rsidRDefault="001F6BC6" w:rsidP="001F6BC6">
      <w:pPr>
        <w:rPr>
          <w:sz w:val="12"/>
          <w:szCs w:val="12"/>
        </w:rPr>
      </w:pPr>
    </w:p>
    <w:p w14:paraId="4B7F9113" w14:textId="77777777" w:rsidR="001F6BC6" w:rsidRDefault="001F6BC6" w:rsidP="0000007B">
      <w:pPr>
        <w:spacing w:afterLines="50" w:after="120"/>
      </w:pPr>
      <w:r w:rsidRPr="001F6BC6">
        <w:t>Zakonom</w:t>
      </w:r>
      <w:r>
        <w:t xml:space="preserve"> o klimatskim promjenama i zaštiti ozonskog sloja (Narodne novine, broj 67/2025)</w:t>
      </w:r>
      <w:r w:rsidRPr="001F6BC6">
        <w:t xml:space="preserve"> propisano</w:t>
      </w:r>
      <w:r>
        <w:t xml:space="preserve"> je</w:t>
      </w:r>
      <w:r w:rsidRPr="001F6BC6">
        <w:t xml:space="preserve"> namjensko korištenje prihoda od dražbi </w:t>
      </w:r>
      <w:r>
        <w:t xml:space="preserve">emisijskih jedinica </w:t>
      </w:r>
      <w:r w:rsidRPr="001F6BC6">
        <w:t xml:space="preserve">sukladno Planu korištenja sredstava koji donosi Vlada RH na prijedlog </w:t>
      </w:r>
      <w:r>
        <w:t>ministarstva nadležnog za klimatske aktivnosti</w:t>
      </w:r>
      <w:r w:rsidRPr="001F6BC6">
        <w:t xml:space="preserve"> te obveza uplate 5% prikupljenih sredstava u državni proračun radi pokrića troškova administriranja EU ETS sustava i povezanih nacionalnih aktivnosti. </w:t>
      </w:r>
    </w:p>
    <w:p w14:paraId="66B8A220" w14:textId="77777777" w:rsidR="001F6BC6" w:rsidRDefault="001F6BC6" w:rsidP="0000007B">
      <w:pPr>
        <w:spacing w:afterLines="50" w:after="120"/>
      </w:pPr>
      <w:r w:rsidRPr="001F6BC6">
        <w:t xml:space="preserve">U razdoblju do 2020. godine sredstva su se koristila sukladno Planu I (uključujući njegove izmjene i dopune iz 2019.), dok se od 2021. do 2025. primjenjuje Plan II, donesen 2021. i izmijenjen 2022. radi usklađivanja s rastom cijena emisijskih jedinica i povećanjem procijenjenih prihoda. </w:t>
      </w:r>
    </w:p>
    <w:p w14:paraId="6F88DDE0" w14:textId="1CF551AB" w:rsidR="001F6BC6" w:rsidRDefault="001F6BC6" w:rsidP="0000007B">
      <w:pPr>
        <w:spacing w:afterLines="50" w:after="120"/>
      </w:pPr>
      <w:r w:rsidRPr="001F6BC6">
        <w:t>Vlada R</w:t>
      </w:r>
      <w:r w:rsidR="0017583B">
        <w:t>epublike Hrvatske</w:t>
      </w:r>
      <w:r w:rsidRPr="001F6BC6">
        <w:t xml:space="preserve"> je do sada usvojila izvješća za razdoblja 2017.</w:t>
      </w:r>
      <w:r w:rsidR="00DE7223">
        <w:t xml:space="preserve"> </w:t>
      </w:r>
      <w:r w:rsidRPr="001F6BC6">
        <w:t>–</w:t>
      </w:r>
      <w:r w:rsidR="00DE7223">
        <w:t xml:space="preserve"> </w:t>
      </w:r>
      <w:r w:rsidRPr="001F6BC6">
        <w:t>2018., 2019.</w:t>
      </w:r>
      <w:r w:rsidR="00DE7223">
        <w:t xml:space="preserve"> </w:t>
      </w:r>
      <w:r w:rsidRPr="001F6BC6">
        <w:t>–</w:t>
      </w:r>
      <w:r w:rsidR="00DE7223">
        <w:t xml:space="preserve"> </w:t>
      </w:r>
      <w:r w:rsidRPr="001F6BC6">
        <w:t>2020. i 2021.</w:t>
      </w:r>
      <w:r w:rsidR="00DE7223">
        <w:t xml:space="preserve"> </w:t>
      </w:r>
      <w:r w:rsidRPr="001F6BC6">
        <w:t>–</w:t>
      </w:r>
      <w:r w:rsidR="00DE7223">
        <w:t xml:space="preserve"> </w:t>
      </w:r>
      <w:r w:rsidRPr="001F6BC6">
        <w:t xml:space="preserve">2022., a predmetno Izvješće obuhvaća dvogodišnje razdoblje 2023.–2024., uz napomenu da </w:t>
      </w:r>
      <w:r>
        <w:t>se i</w:t>
      </w:r>
      <w:r w:rsidRPr="001F6BC6">
        <w:t xml:space="preserve"> nakon isteka Plana I</w:t>
      </w:r>
      <w:r>
        <w:t>.</w:t>
      </w:r>
      <w:r w:rsidRPr="001F6BC6">
        <w:t xml:space="preserve"> nastavi</w:t>
      </w:r>
      <w:r>
        <w:t>la</w:t>
      </w:r>
      <w:r w:rsidRPr="001F6BC6">
        <w:t xml:space="preserve"> realizacij</w:t>
      </w:r>
      <w:r>
        <w:t>a</w:t>
      </w:r>
      <w:r w:rsidRPr="001F6BC6">
        <w:t xml:space="preserve"> ranije preuzetih višegodišnjih obveza, osobito za projekte sufinancirane iz OPKK 2014.–2020. te za izgradnju centara za gospodarenje otpadom, čija je provedba produljena zbog posljedica potresa i pandemije COVID-19. </w:t>
      </w:r>
    </w:p>
    <w:p w14:paraId="2AF6F7CD" w14:textId="403E1193" w:rsidR="0000007B" w:rsidRDefault="0000007B" w:rsidP="0000007B">
      <w:pPr>
        <w:spacing w:afterLines="50" w:after="120" w:line="240" w:lineRule="auto"/>
      </w:pPr>
      <w:r>
        <w:t xml:space="preserve">U okviru Plana I, tijekom 2023. i 2024. realizirana su sredstva u iznosu </w:t>
      </w:r>
      <w:r w:rsidRPr="0000007B">
        <w:rPr>
          <w:b/>
          <w:bCs/>
        </w:rPr>
        <w:t>28.249.734,26 EUR</w:t>
      </w:r>
      <w:r>
        <w:t>, od čega:</w:t>
      </w:r>
    </w:p>
    <w:p w14:paraId="494679F8" w14:textId="2834FDFC" w:rsidR="0000007B" w:rsidRDefault="0000007B" w:rsidP="0000007B">
      <w:pPr>
        <w:pStyle w:val="Odlomakpopisa"/>
        <w:numPr>
          <w:ilvl w:val="0"/>
          <w:numId w:val="39"/>
        </w:numPr>
        <w:spacing w:afterLines="80" w:after="192" w:line="240" w:lineRule="auto"/>
      </w:pPr>
      <w:r w:rsidRPr="0000007B">
        <w:rPr>
          <w:b/>
          <w:bCs/>
        </w:rPr>
        <w:t>24.891.853,84 EUR</w:t>
      </w:r>
      <w:r>
        <w:t xml:space="preserve"> za programe/projekte zaštite okoliša</w:t>
      </w:r>
    </w:p>
    <w:p w14:paraId="6F92BF47" w14:textId="77777777" w:rsidR="0000007B" w:rsidRDefault="0000007B" w:rsidP="0000007B">
      <w:pPr>
        <w:pStyle w:val="Odlomakpopisa"/>
        <w:numPr>
          <w:ilvl w:val="0"/>
          <w:numId w:val="39"/>
        </w:numPr>
        <w:spacing w:afterLines="80" w:after="192" w:line="240" w:lineRule="auto"/>
      </w:pPr>
      <w:r w:rsidRPr="0000007B">
        <w:rPr>
          <w:b/>
          <w:bCs/>
        </w:rPr>
        <w:t>3.357.880,42 EUR</w:t>
      </w:r>
      <w:r>
        <w:t xml:space="preserve"> za programe/projekte energetske učinkovitosti.</w:t>
      </w:r>
    </w:p>
    <w:p w14:paraId="60E0F926" w14:textId="65683EC8" w:rsidR="00B2213D" w:rsidRDefault="00B2213D" w:rsidP="0000007B">
      <w:pPr>
        <w:spacing w:afterLines="80" w:after="192" w:line="240" w:lineRule="auto"/>
      </w:pPr>
      <w:r>
        <w:t>Najznačajniji projekti se odnose na</w:t>
      </w:r>
      <w:r w:rsidR="0000007B">
        <w:t xml:space="preserve"> ulaganja u</w:t>
      </w:r>
      <w:r>
        <w:t>:</w:t>
      </w:r>
    </w:p>
    <w:p w14:paraId="234B8B64" w14:textId="77777777" w:rsidR="00B2213D" w:rsidRDefault="001F6BC6" w:rsidP="0000007B">
      <w:pPr>
        <w:pStyle w:val="Odlomakpopisa"/>
        <w:numPr>
          <w:ilvl w:val="0"/>
          <w:numId w:val="38"/>
        </w:numPr>
        <w:spacing w:afterLines="80" w:after="192" w:line="240" w:lineRule="auto"/>
      </w:pPr>
      <w:r w:rsidRPr="001F6BC6">
        <w:t xml:space="preserve">centre za gospodarenje otpadom (16.769.954,27 EUR) i </w:t>
      </w:r>
    </w:p>
    <w:p w14:paraId="4214DBA5" w14:textId="77777777" w:rsidR="00B2213D" w:rsidRDefault="001F6BC6" w:rsidP="0000007B">
      <w:pPr>
        <w:pStyle w:val="Odlomakpopisa"/>
        <w:numPr>
          <w:ilvl w:val="0"/>
          <w:numId w:val="38"/>
        </w:numPr>
        <w:spacing w:afterLines="80" w:after="192" w:line="240" w:lineRule="auto"/>
      </w:pPr>
      <w:r w:rsidRPr="001F6BC6">
        <w:t xml:space="preserve">projekte OPKK i prilagodbe klimatskim promjenama (7.187.395,49 EUR), </w:t>
      </w:r>
    </w:p>
    <w:p w14:paraId="1E4BF85F" w14:textId="6B3D739E" w:rsidR="001F6BC6" w:rsidRDefault="001F6BC6" w:rsidP="0000007B">
      <w:pPr>
        <w:pStyle w:val="Odlomakpopisa"/>
        <w:numPr>
          <w:ilvl w:val="0"/>
          <w:numId w:val="38"/>
        </w:numPr>
        <w:spacing w:afterLines="80" w:after="192" w:line="240" w:lineRule="auto"/>
      </w:pPr>
      <w:r w:rsidRPr="001F6BC6">
        <w:t xml:space="preserve">provedbu i drugih prioritetnih mjera u području obnovljivih izvora energije, energetske učinkovitosti, energetskog siromaštva, prometa, </w:t>
      </w:r>
      <w:proofErr w:type="spellStart"/>
      <w:r w:rsidRPr="001F6BC6">
        <w:t>neenergetskog</w:t>
      </w:r>
      <w:proofErr w:type="spellEnd"/>
      <w:r w:rsidRPr="001F6BC6">
        <w:t xml:space="preserve"> sektora te istraživanja i razvoja.</w:t>
      </w:r>
    </w:p>
    <w:p w14:paraId="2F492D40" w14:textId="397583BE" w:rsidR="0000007B" w:rsidRDefault="008966AB" w:rsidP="0000007B">
      <w:pPr>
        <w:spacing w:before="60" w:afterLines="80" w:after="192" w:line="240" w:lineRule="auto"/>
        <w:rPr>
          <w:b/>
          <w:bCs/>
        </w:rPr>
      </w:pPr>
      <w:r>
        <w:t>U</w:t>
      </w:r>
      <w:r w:rsidR="001F6BC6">
        <w:t xml:space="preserve"> </w:t>
      </w:r>
      <w:r w:rsidR="00B2213D">
        <w:t xml:space="preserve">okviru Plana II., u </w:t>
      </w:r>
      <w:r w:rsidR="001F6BC6">
        <w:t xml:space="preserve">razdoblju 2023. – 2024. uprihođeno je ukupno  </w:t>
      </w:r>
      <w:r w:rsidR="001F6BC6" w:rsidRPr="00D418DA">
        <w:rPr>
          <w:b/>
          <w:bCs/>
        </w:rPr>
        <w:t>277.212.285 EUR</w:t>
      </w:r>
      <w:r w:rsidR="001F6BC6" w:rsidRPr="008966AB">
        <w:t>,</w:t>
      </w:r>
      <w:r w:rsidR="001F6BC6">
        <w:rPr>
          <w:b/>
          <w:bCs/>
        </w:rPr>
        <w:t xml:space="preserve"> </w:t>
      </w:r>
      <w:r w:rsidR="001F6BC6" w:rsidRPr="0000007B">
        <w:t xml:space="preserve">od čega </w:t>
      </w:r>
      <w:r w:rsidRPr="0000007B">
        <w:rPr>
          <w:rFonts w:eastAsia="Times New Roman"/>
          <w:lang w:eastAsia="hr-HR"/>
        </w:rPr>
        <w:t>i</w:t>
      </w:r>
      <w:r>
        <w:rPr>
          <w:rFonts w:eastAsia="Times New Roman"/>
          <w:bCs/>
          <w:lang w:eastAsia="hr-HR"/>
        </w:rPr>
        <w:t>spla</w:t>
      </w:r>
      <w:r w:rsidR="00B2213D">
        <w:rPr>
          <w:rFonts w:eastAsia="Times New Roman"/>
          <w:bCs/>
          <w:lang w:eastAsia="hr-HR"/>
        </w:rPr>
        <w:t>ćen</w:t>
      </w:r>
      <w:r w:rsidR="0000007B">
        <w:rPr>
          <w:rFonts w:eastAsia="Times New Roman"/>
          <w:bCs/>
          <w:lang w:eastAsia="hr-HR"/>
        </w:rPr>
        <w:t>a</w:t>
      </w:r>
      <w:r>
        <w:rPr>
          <w:rFonts w:eastAsia="Times New Roman"/>
          <w:bCs/>
          <w:lang w:eastAsia="hr-HR"/>
        </w:rPr>
        <w:t xml:space="preserve"> sredstva</w:t>
      </w:r>
      <w:r w:rsidR="0000007B">
        <w:rPr>
          <w:rFonts w:eastAsia="Times New Roman"/>
          <w:bCs/>
          <w:lang w:eastAsia="hr-HR"/>
        </w:rPr>
        <w:t xml:space="preserve"> </w:t>
      </w:r>
      <w:r>
        <w:rPr>
          <w:rFonts w:eastAsia="Times New Roman"/>
          <w:bCs/>
          <w:lang w:eastAsia="hr-HR"/>
        </w:rPr>
        <w:t>iznos</w:t>
      </w:r>
      <w:r w:rsidR="0000007B">
        <w:rPr>
          <w:rFonts w:eastAsia="Times New Roman"/>
          <w:bCs/>
          <w:lang w:eastAsia="hr-HR"/>
        </w:rPr>
        <w:t>e</w:t>
      </w:r>
      <w:r>
        <w:rPr>
          <w:rFonts w:eastAsia="Times New Roman"/>
          <w:bCs/>
          <w:lang w:eastAsia="hr-HR"/>
        </w:rPr>
        <w:t xml:space="preserve"> od </w:t>
      </w:r>
      <w:r w:rsidRPr="00527C7E">
        <w:rPr>
          <w:b/>
          <w:bCs/>
        </w:rPr>
        <w:t>245.282.422,69</w:t>
      </w:r>
      <w:r>
        <w:rPr>
          <w:b/>
          <w:bCs/>
        </w:rPr>
        <w:t xml:space="preserve"> EUR</w:t>
      </w:r>
      <w:r w:rsidR="0000007B">
        <w:rPr>
          <w:b/>
          <w:bCs/>
        </w:rPr>
        <w:t>:</w:t>
      </w:r>
    </w:p>
    <w:p w14:paraId="59E55D9D" w14:textId="693D9920" w:rsidR="0000007B" w:rsidRDefault="008966AB" w:rsidP="0000007B">
      <w:pPr>
        <w:pStyle w:val="Odlomakpopisa"/>
        <w:numPr>
          <w:ilvl w:val="0"/>
          <w:numId w:val="40"/>
        </w:numPr>
        <w:spacing w:before="60" w:afterLines="80" w:after="192" w:line="240" w:lineRule="auto"/>
      </w:pPr>
      <w:r w:rsidRPr="0000007B">
        <w:rPr>
          <w:b/>
          <w:bCs/>
        </w:rPr>
        <w:t xml:space="preserve">18.048.775,42 EUR </w:t>
      </w:r>
      <w:r w:rsidR="0000007B">
        <w:t xml:space="preserve">za </w:t>
      </w:r>
      <w:r w:rsidR="0000007B" w:rsidRPr="008966AB">
        <w:t>programe i projekte zaštite okoliša</w:t>
      </w:r>
      <w:r w:rsidR="0000007B" w:rsidRPr="0000007B">
        <w:rPr>
          <w:b/>
          <w:bCs/>
        </w:rPr>
        <w:t xml:space="preserve"> </w:t>
      </w:r>
      <w:r w:rsidRPr="008966AB">
        <w:t xml:space="preserve">i </w:t>
      </w:r>
    </w:p>
    <w:p w14:paraId="2FAE56A5" w14:textId="36B17DF2" w:rsidR="0000007B" w:rsidRPr="0000007B" w:rsidRDefault="008966AB" w:rsidP="0000007B">
      <w:pPr>
        <w:pStyle w:val="Odlomakpopisa"/>
        <w:numPr>
          <w:ilvl w:val="0"/>
          <w:numId w:val="40"/>
        </w:numPr>
        <w:spacing w:before="60" w:afterLines="80" w:after="192" w:line="240" w:lineRule="auto"/>
        <w:rPr>
          <w:b/>
          <w:bCs/>
        </w:rPr>
      </w:pPr>
      <w:r w:rsidRPr="0000007B">
        <w:rPr>
          <w:b/>
          <w:bCs/>
        </w:rPr>
        <w:t xml:space="preserve">227.233.647,27 </w:t>
      </w:r>
      <w:r w:rsidR="0000007B" w:rsidRPr="0000007B">
        <w:rPr>
          <w:b/>
          <w:bCs/>
        </w:rPr>
        <w:t>EUR</w:t>
      </w:r>
      <w:r w:rsidR="0000007B" w:rsidRPr="008966AB">
        <w:t xml:space="preserve"> programe i projekte energetske učinkovitosti</w:t>
      </w:r>
      <w:r w:rsidRPr="0000007B">
        <w:rPr>
          <w:b/>
          <w:bCs/>
        </w:rPr>
        <w:t>.</w:t>
      </w:r>
      <w:r w:rsidR="00C4135A" w:rsidRPr="0000007B">
        <w:rPr>
          <w:b/>
          <w:bCs/>
        </w:rPr>
        <w:t xml:space="preserve"> </w:t>
      </w:r>
    </w:p>
    <w:p w14:paraId="70E0EDDD" w14:textId="77777777" w:rsidR="0000007B" w:rsidRPr="0000007B" w:rsidRDefault="0000007B" w:rsidP="0000007B">
      <w:pPr>
        <w:spacing w:before="60" w:afterLines="80" w:after="192" w:line="240" w:lineRule="auto"/>
      </w:pPr>
      <w:r w:rsidRPr="0000007B">
        <w:t>Najveći iznosi realizacije u 2023.–2024. su:</w:t>
      </w:r>
    </w:p>
    <w:p w14:paraId="00121B2B" w14:textId="77777777" w:rsidR="0000007B" w:rsidRPr="0000007B" w:rsidRDefault="0000007B" w:rsidP="0000007B">
      <w:pPr>
        <w:numPr>
          <w:ilvl w:val="0"/>
          <w:numId w:val="41"/>
        </w:numPr>
        <w:spacing w:before="60" w:after="60" w:line="240" w:lineRule="auto"/>
      </w:pPr>
      <w:r w:rsidRPr="0000007B">
        <w:t>Energetsko siromaštvo (ES): 162.365.730,35 EUR</w:t>
      </w:r>
    </w:p>
    <w:p w14:paraId="51A8F90B" w14:textId="77777777" w:rsidR="0000007B" w:rsidRPr="0000007B" w:rsidRDefault="0000007B" w:rsidP="0000007B">
      <w:pPr>
        <w:numPr>
          <w:ilvl w:val="0"/>
          <w:numId w:val="41"/>
        </w:numPr>
        <w:spacing w:before="60" w:after="60" w:line="240" w:lineRule="auto"/>
      </w:pPr>
      <w:r w:rsidRPr="0000007B">
        <w:t>Povećanje energetske učinkovitosti (</w:t>
      </w:r>
      <w:proofErr w:type="spellStart"/>
      <w:r w:rsidRPr="0000007B">
        <w:t>EnU</w:t>
      </w:r>
      <w:proofErr w:type="spellEnd"/>
      <w:r w:rsidRPr="0000007B">
        <w:t xml:space="preserve">): 40.392.851,98 EUR </w:t>
      </w:r>
    </w:p>
    <w:p w14:paraId="398103ED" w14:textId="77777777" w:rsidR="0000007B" w:rsidRPr="0000007B" w:rsidRDefault="0000007B" w:rsidP="0000007B">
      <w:pPr>
        <w:numPr>
          <w:ilvl w:val="0"/>
          <w:numId w:val="41"/>
        </w:numPr>
        <w:spacing w:before="60" w:after="60" w:line="240" w:lineRule="auto"/>
      </w:pPr>
      <w:r w:rsidRPr="0000007B">
        <w:t xml:space="preserve">Obnovljivi izvori energije (OIE): 22.963.319,75 EUR </w:t>
      </w:r>
    </w:p>
    <w:p w14:paraId="48A07490" w14:textId="77777777" w:rsidR="0000007B" w:rsidRPr="0000007B" w:rsidRDefault="0000007B" w:rsidP="0000007B">
      <w:pPr>
        <w:numPr>
          <w:ilvl w:val="0"/>
          <w:numId w:val="41"/>
        </w:numPr>
        <w:spacing w:before="60" w:after="60" w:line="240" w:lineRule="auto"/>
      </w:pPr>
      <w:r w:rsidRPr="0000007B">
        <w:t>Strategija prilagodbe klimatskim promjenama (SPKP): 6.825.277,02 EUR</w:t>
      </w:r>
    </w:p>
    <w:p w14:paraId="4EA490E1" w14:textId="77777777" w:rsidR="0000007B" w:rsidRPr="0000007B" w:rsidRDefault="0000007B" w:rsidP="0000007B">
      <w:pPr>
        <w:numPr>
          <w:ilvl w:val="0"/>
          <w:numId w:val="41"/>
        </w:numPr>
        <w:spacing w:before="60" w:after="60" w:line="240" w:lineRule="auto"/>
      </w:pPr>
      <w:r w:rsidRPr="0000007B">
        <w:t xml:space="preserve">Gospodarenje otpadom (OT): 3.676.418,21 EUR </w:t>
      </w:r>
    </w:p>
    <w:p w14:paraId="105E105B" w14:textId="77777777" w:rsidR="0000007B" w:rsidRPr="0000007B" w:rsidRDefault="0000007B" w:rsidP="0000007B">
      <w:pPr>
        <w:numPr>
          <w:ilvl w:val="0"/>
          <w:numId w:val="41"/>
        </w:numPr>
        <w:spacing w:before="60" w:after="60" w:line="240" w:lineRule="auto"/>
      </w:pPr>
      <w:r w:rsidRPr="0000007B">
        <w:t xml:space="preserve">Bioraznolikost (BIO): 3.556.860,25 EUR </w:t>
      </w:r>
    </w:p>
    <w:p w14:paraId="13C592A5" w14:textId="77777777" w:rsidR="0000007B" w:rsidRPr="0000007B" w:rsidRDefault="0000007B" w:rsidP="001F6BC6">
      <w:pPr>
        <w:rPr>
          <w:b/>
          <w:bCs/>
          <w:sz w:val="16"/>
          <w:szCs w:val="16"/>
          <w:u w:val="single"/>
        </w:rPr>
      </w:pPr>
    </w:p>
    <w:p w14:paraId="4F73FB72" w14:textId="1A1787E8" w:rsidR="008966AB" w:rsidRPr="0000007B" w:rsidRDefault="008966AB" w:rsidP="001F6BC6">
      <w:pPr>
        <w:rPr>
          <w:b/>
          <w:bCs/>
          <w:u w:val="single"/>
        </w:rPr>
        <w:sectPr w:rsidR="008966AB" w:rsidRPr="0000007B" w:rsidSect="003E2D40">
          <w:headerReference w:type="even" r:id="rId11"/>
          <w:headerReference w:type="default" r:id="rId12"/>
          <w:footerReference w:type="default" r:id="rId13"/>
          <w:pgSz w:w="11906" w:h="16838"/>
          <w:pgMar w:top="1417" w:right="1417" w:bottom="1417" w:left="1417" w:header="708" w:footer="708" w:gutter="0"/>
          <w:cols w:space="708"/>
          <w:titlePg/>
          <w:docGrid w:linePitch="360"/>
        </w:sectPr>
      </w:pPr>
      <w:r w:rsidRPr="0000007B">
        <w:rPr>
          <w:b/>
          <w:bCs/>
          <w:u w:val="single"/>
        </w:rPr>
        <w:t>Ukupno je iz Plana I. i Plana II. u 2023. i 2024. utrošeno 273.532.157 EUR.</w:t>
      </w:r>
    </w:p>
    <w:p w14:paraId="2F821351" w14:textId="1B588FED" w:rsidR="00B15106" w:rsidRPr="00174A96" w:rsidRDefault="001A1C9D" w:rsidP="00FB7B46">
      <w:pPr>
        <w:pStyle w:val="Naslov1"/>
      </w:pPr>
      <w:bookmarkStart w:id="1" w:name="_Toc481668210"/>
      <w:bookmarkStart w:id="2" w:name="_Toc226980220"/>
      <w:r w:rsidRPr="00174A96">
        <w:lastRenderedPageBreak/>
        <w:t>U</w:t>
      </w:r>
      <w:bookmarkEnd w:id="1"/>
      <w:r w:rsidR="001F6BC6">
        <w:t>vod</w:t>
      </w:r>
      <w:bookmarkEnd w:id="2"/>
    </w:p>
    <w:p w14:paraId="1109405E" w14:textId="0357C37A" w:rsidR="00A23A5C" w:rsidRDefault="00A23A5C" w:rsidP="00F06E05">
      <w:pPr>
        <w:spacing w:before="120" w:after="60"/>
        <w:ind w:firstLine="708"/>
      </w:pPr>
      <w:r w:rsidRPr="00F129B0">
        <w:rPr>
          <w:bCs/>
        </w:rPr>
        <w:t xml:space="preserve">Zakonska osnova za izradu </w:t>
      </w:r>
      <w:r w:rsidRPr="000742CE">
        <w:rPr>
          <w:bCs/>
          <w:i/>
          <w:iCs/>
        </w:rPr>
        <w:t>Izvješća</w:t>
      </w:r>
      <w:r w:rsidRPr="000742CE">
        <w:rPr>
          <w:i/>
          <w:iCs/>
        </w:rPr>
        <w:t xml:space="preserve"> </w:t>
      </w:r>
      <w:r w:rsidR="007B234F">
        <w:rPr>
          <w:i/>
          <w:iCs/>
        </w:rPr>
        <w:t>Ministarstva zaštite okoliša i zelene tranzicije</w:t>
      </w:r>
      <w:r w:rsidRPr="00F129B0">
        <w:t xml:space="preserve"> (u daljnjem tekstu </w:t>
      </w:r>
      <w:r w:rsidR="007B234F">
        <w:t>MZOZT</w:t>
      </w:r>
      <w:r w:rsidRPr="00F129B0">
        <w:t xml:space="preserve">) </w:t>
      </w:r>
      <w:r w:rsidRPr="000742CE">
        <w:rPr>
          <w:i/>
          <w:iCs/>
        </w:rPr>
        <w:t>o korištenju financijskih sredstava dobivenih od prodaje emisijskih jedinica stakleničkih plinova putem dražbi u Republici Hrvatskoj u 20</w:t>
      </w:r>
      <w:r w:rsidR="00F06E05">
        <w:rPr>
          <w:i/>
          <w:iCs/>
        </w:rPr>
        <w:t>2</w:t>
      </w:r>
      <w:r w:rsidR="007B234F">
        <w:rPr>
          <w:i/>
          <w:iCs/>
        </w:rPr>
        <w:t>3</w:t>
      </w:r>
      <w:r w:rsidRPr="000742CE">
        <w:rPr>
          <w:i/>
          <w:iCs/>
        </w:rPr>
        <w:t>. i 202</w:t>
      </w:r>
      <w:r w:rsidR="007B234F">
        <w:rPr>
          <w:i/>
          <w:iCs/>
        </w:rPr>
        <w:t>4</w:t>
      </w:r>
      <w:r w:rsidRPr="000742CE">
        <w:rPr>
          <w:i/>
          <w:iCs/>
        </w:rPr>
        <w:t>. godini</w:t>
      </w:r>
      <w:r w:rsidRPr="00F129B0">
        <w:t xml:space="preserve"> </w:t>
      </w:r>
      <w:r>
        <w:t xml:space="preserve">(razdoblje od dvije godine) koje se podnosi Vladi Republike Hrvatske </w:t>
      </w:r>
      <w:r w:rsidRPr="00F129B0">
        <w:t>je članak 1</w:t>
      </w:r>
      <w:r w:rsidR="007B234F">
        <w:t>10</w:t>
      </w:r>
      <w:r w:rsidRPr="00F129B0">
        <w:t>.</w:t>
      </w:r>
      <w:r>
        <w:t xml:space="preserve"> stavak 9.</w:t>
      </w:r>
      <w:r w:rsidRPr="000742CE">
        <w:t xml:space="preserve"> </w:t>
      </w:r>
      <w:r w:rsidRPr="00F129B0">
        <w:t>Zakona o klimatskim promjenama i zaštiti ozonskog sloja (</w:t>
      </w:r>
      <w:r>
        <w:t>„</w:t>
      </w:r>
      <w:r w:rsidRPr="00F129B0">
        <w:t>Narodne novine</w:t>
      </w:r>
      <w:r>
        <w:t>“</w:t>
      </w:r>
      <w:r w:rsidRPr="00F129B0">
        <w:t xml:space="preserve">, broj </w:t>
      </w:r>
      <w:r w:rsidR="007B234F">
        <w:t>6</w:t>
      </w:r>
      <w:r w:rsidRPr="00F129B0">
        <w:t>7/</w:t>
      </w:r>
      <w:r w:rsidR="007B234F">
        <w:t>25</w:t>
      </w:r>
      <w:r w:rsidRPr="00F129B0">
        <w:t xml:space="preserve">, u daljnjem tekstu: Zakon). </w:t>
      </w:r>
    </w:p>
    <w:p w14:paraId="59CDB246" w14:textId="440B2603" w:rsidR="004F72AA" w:rsidRPr="00F129B0" w:rsidRDefault="004F72AA" w:rsidP="00E41DF8">
      <w:pPr>
        <w:spacing w:before="60" w:after="60"/>
        <w:ind w:firstLine="709"/>
        <w:rPr>
          <w:bCs/>
        </w:rPr>
      </w:pPr>
      <w:r w:rsidRPr="00F129B0">
        <w:rPr>
          <w:bCs/>
        </w:rPr>
        <w:t>Republika Hrvatska je danom pristupanja Europskoj uniji (u daljnjem tekstu: EU) stekla pravo uključivanja u centralnu dražbovnu platformu radi prodaje emisijskih jedinica stakleničkih plinova putem dražbi u okviru sustava trgovanja emisijskim jedinicama stakleničkih plinova EU. Temeljem članka 99. stavka 4. tadašnjeg Zakona o zaštiti zraka Vlada Republike Hrvatske donijela je Odluku o dražbovatelju za obavljanje poslova dražbe emisijskih jedinica i izboru dražbenog sustava (</w:t>
      </w:r>
      <w:r>
        <w:rPr>
          <w:bCs/>
        </w:rPr>
        <w:t>„</w:t>
      </w:r>
      <w:r w:rsidRPr="00F129B0">
        <w:rPr>
          <w:bCs/>
        </w:rPr>
        <w:t>Narodne novine</w:t>
      </w:r>
      <w:r>
        <w:rPr>
          <w:bCs/>
        </w:rPr>
        <w:t>“</w:t>
      </w:r>
      <w:r w:rsidRPr="00F129B0">
        <w:rPr>
          <w:bCs/>
        </w:rPr>
        <w:t xml:space="preserve">, broj 84/14). Odlukom je utvrđeno da se Republika Hrvatska od 1. siječnja 2013. godine priključi na europski sustav trgovanja emisijskim jedinicama stakleničkih plinova te da se kao dražbeni sustav za provođenje dražbe koristi zajednička </w:t>
      </w:r>
      <w:r w:rsidR="00BF5F56">
        <w:rPr>
          <w:bCs/>
        </w:rPr>
        <w:t>dražbovna</w:t>
      </w:r>
      <w:r w:rsidRPr="00F129B0">
        <w:rPr>
          <w:bCs/>
        </w:rPr>
        <w:t xml:space="preserve"> platforma EU</w:t>
      </w:r>
      <w:r w:rsidR="00BF5F56">
        <w:rPr>
          <w:bCs/>
        </w:rPr>
        <w:t>-a</w:t>
      </w:r>
      <w:r w:rsidRPr="00F129B0">
        <w:rPr>
          <w:bCs/>
        </w:rPr>
        <w:t xml:space="preserve">. Odlukom se također imenuje Fond </w:t>
      </w:r>
      <w:r>
        <w:rPr>
          <w:bCs/>
        </w:rPr>
        <w:t xml:space="preserve">za zaštitu okoliša i energetsku učinkovitost (u daljnjem tekstu: Fond) </w:t>
      </w:r>
      <w:r w:rsidRPr="00F129B0">
        <w:rPr>
          <w:bCs/>
        </w:rPr>
        <w:t xml:space="preserve">za dražbovatelja koji u ime Republike Hrvatske obavlja poslove dražbe emisijskih jedinica stakleničkih plinova. Sukladno Odluci, </w:t>
      </w:r>
      <w:r w:rsidR="007B234F">
        <w:rPr>
          <w:bCs/>
        </w:rPr>
        <w:t>MZOZT</w:t>
      </w:r>
      <w:r w:rsidRPr="00F129B0">
        <w:rPr>
          <w:bCs/>
        </w:rPr>
        <w:t xml:space="preserve"> (tadašnje Ministarstvo zaštite okoliša i prirode</w:t>
      </w:r>
      <w:r w:rsidR="0045661E">
        <w:rPr>
          <w:bCs/>
        </w:rPr>
        <w:t xml:space="preserve"> (2016.god) i Ministarstvo gospodarstva i održivog razvoja (2021. god)</w:t>
      </w:r>
      <w:r w:rsidR="001B3D60">
        <w:rPr>
          <w:bCs/>
        </w:rPr>
        <w:t>)</w:t>
      </w:r>
      <w:r w:rsidRPr="00F129B0">
        <w:rPr>
          <w:bCs/>
        </w:rPr>
        <w:t xml:space="preserve"> i Fond sklopili su Ugovor kojim pobliže uređuju međusobna prava i obveze u vezi provođenja dražbe emisijskih jedinica (Klasa: 351-01/15-01/1005, </w:t>
      </w:r>
      <w:proofErr w:type="spellStart"/>
      <w:r w:rsidRPr="00F129B0">
        <w:rPr>
          <w:bCs/>
        </w:rPr>
        <w:t>Urbroj</w:t>
      </w:r>
      <w:proofErr w:type="spellEnd"/>
      <w:r w:rsidRPr="00F129B0">
        <w:rPr>
          <w:bCs/>
        </w:rPr>
        <w:t>: 517-06-1-2-16-11 od 3. veljače 2016. godine)</w:t>
      </w:r>
      <w:r w:rsidR="00F06E05">
        <w:rPr>
          <w:bCs/>
        </w:rPr>
        <w:t xml:space="preserve"> i Ugovor (Klasa: 351-01/15-01/1005, </w:t>
      </w:r>
      <w:proofErr w:type="spellStart"/>
      <w:r w:rsidR="00F06E05">
        <w:rPr>
          <w:bCs/>
        </w:rPr>
        <w:t>Urbroj</w:t>
      </w:r>
      <w:proofErr w:type="spellEnd"/>
      <w:r w:rsidR="00F06E05">
        <w:rPr>
          <w:bCs/>
        </w:rPr>
        <w:t>: 563-01-69-01-23) od 7. listopada 2021. godine).</w:t>
      </w:r>
    </w:p>
    <w:p w14:paraId="433CFD26" w14:textId="3DB9DE20" w:rsidR="004F72AA" w:rsidRPr="00F129B0" w:rsidRDefault="003C00AB" w:rsidP="00E41DF8">
      <w:pPr>
        <w:spacing w:before="60" w:after="60"/>
        <w:ind w:firstLine="709"/>
      </w:pPr>
      <w:r>
        <w:t>N</w:t>
      </w:r>
      <w:r w:rsidR="004F72AA" w:rsidRPr="00F129B0">
        <w:t xml:space="preserve">akon </w:t>
      </w:r>
      <w:r>
        <w:t xml:space="preserve">što je </w:t>
      </w:r>
      <w:r w:rsidR="004F72AA" w:rsidRPr="00F129B0">
        <w:t>Europsk</w:t>
      </w:r>
      <w:r>
        <w:t>a</w:t>
      </w:r>
      <w:r w:rsidR="004F72AA" w:rsidRPr="00F129B0">
        <w:t xml:space="preserve"> energetsk</w:t>
      </w:r>
      <w:r>
        <w:t>a</w:t>
      </w:r>
      <w:r w:rsidR="004F72AA" w:rsidRPr="00F129B0">
        <w:t xml:space="preserve"> burz</w:t>
      </w:r>
      <w:r>
        <w:t>a</w:t>
      </w:r>
      <w:r w:rsidR="004F72AA" w:rsidRPr="00F129B0">
        <w:t xml:space="preserve"> (EEX - </w:t>
      </w:r>
      <w:r w:rsidR="004F72AA" w:rsidRPr="003C00AB">
        <w:rPr>
          <w:i/>
          <w:iCs/>
        </w:rPr>
        <w:t>European Energy Exchange</w:t>
      </w:r>
      <w:r w:rsidR="004F72AA" w:rsidRPr="00F129B0">
        <w:t>)</w:t>
      </w:r>
      <w:r>
        <w:t xml:space="preserve"> prihvatila </w:t>
      </w:r>
      <w:r w:rsidR="002131E0">
        <w:t xml:space="preserve">Republiku Hrvatsku kao </w:t>
      </w:r>
      <w:r>
        <w:t>dražbovatelja i</w:t>
      </w:r>
      <w:r w:rsidR="004F72AA" w:rsidRPr="00F129B0">
        <w:t xml:space="preserve"> </w:t>
      </w:r>
      <w:r>
        <w:t xml:space="preserve">nakon što je </w:t>
      </w:r>
      <w:r w:rsidR="004F72AA" w:rsidRPr="00F129B0">
        <w:t>Europsk</w:t>
      </w:r>
      <w:r>
        <w:t>a</w:t>
      </w:r>
      <w:r w:rsidR="004F72AA" w:rsidRPr="00F129B0">
        <w:t xml:space="preserve"> klirinšk</w:t>
      </w:r>
      <w:r>
        <w:t>a</w:t>
      </w:r>
      <w:r w:rsidR="004F72AA" w:rsidRPr="00F129B0">
        <w:t xml:space="preserve"> kuć</w:t>
      </w:r>
      <w:r>
        <w:t>a</w:t>
      </w:r>
      <w:r w:rsidR="004F72AA" w:rsidRPr="00F129B0">
        <w:t xml:space="preserve"> za trgovinu robom (ECC - </w:t>
      </w:r>
      <w:r w:rsidR="004F72AA" w:rsidRPr="003C00AB">
        <w:rPr>
          <w:i/>
          <w:iCs/>
        </w:rPr>
        <w:t xml:space="preserve">European </w:t>
      </w:r>
      <w:proofErr w:type="spellStart"/>
      <w:r w:rsidR="004F72AA" w:rsidRPr="003C00AB">
        <w:rPr>
          <w:i/>
          <w:iCs/>
        </w:rPr>
        <w:t>Commodity</w:t>
      </w:r>
      <w:proofErr w:type="spellEnd"/>
      <w:r w:rsidR="004F72AA" w:rsidRPr="003C00AB">
        <w:rPr>
          <w:i/>
          <w:iCs/>
        </w:rPr>
        <w:t xml:space="preserve"> </w:t>
      </w:r>
      <w:proofErr w:type="spellStart"/>
      <w:r w:rsidR="004F72AA" w:rsidRPr="003C00AB">
        <w:rPr>
          <w:i/>
          <w:iCs/>
        </w:rPr>
        <w:t>Clearing</w:t>
      </w:r>
      <w:proofErr w:type="spellEnd"/>
      <w:r w:rsidR="004F72AA" w:rsidRPr="003C00AB">
        <w:rPr>
          <w:i/>
          <w:iCs/>
        </w:rPr>
        <w:t xml:space="preserve"> AG</w:t>
      </w:r>
      <w:r w:rsidR="004F72AA" w:rsidRPr="00F129B0">
        <w:t>)</w:t>
      </w:r>
      <w:r>
        <w:t xml:space="preserve"> odobrila sudjelovanje Republike Hrvatske u svojstvu dražbovatelja u primarnim dražbama emisijskih jedinica stakleničkih plinova</w:t>
      </w:r>
      <w:r w:rsidR="004F72AA" w:rsidRPr="00F129B0">
        <w:t xml:space="preserve">, </w:t>
      </w:r>
      <w:r w:rsidR="002131E0">
        <w:t xml:space="preserve">Republika Hrvatska je </w:t>
      </w:r>
      <w:r w:rsidR="004F72AA" w:rsidRPr="00F129B0">
        <w:t>dobila pravo uvrštenja u godišnji kalendar dražbi.</w:t>
      </w:r>
    </w:p>
    <w:p w14:paraId="15C86CDB" w14:textId="776B3B61" w:rsidR="004F72AA" w:rsidRPr="00F129B0" w:rsidRDefault="004F72AA" w:rsidP="00E41DF8">
      <w:pPr>
        <w:spacing w:before="60" w:after="60"/>
        <w:ind w:firstLine="709"/>
        <w:rPr>
          <w:bCs/>
        </w:rPr>
      </w:pPr>
      <w:r w:rsidRPr="00F129B0">
        <w:rPr>
          <w:bCs/>
        </w:rPr>
        <w:t xml:space="preserve">Odredbama Zakona propisano je da se financijska sredstva ostvarena prodajom emisijskih jedinica na dražbi koriste strogo namjenski u skladu s </w:t>
      </w:r>
      <w:r w:rsidRPr="00E73565">
        <w:rPr>
          <w:bCs/>
          <w:i/>
          <w:iCs/>
        </w:rPr>
        <w:t xml:space="preserve">Planom korištenja financijskih sredstava dobivenih od prodaje emisijskih jedinica putem dražbi </w:t>
      </w:r>
      <w:r w:rsidRPr="00F129B0">
        <w:rPr>
          <w:bCs/>
        </w:rPr>
        <w:t xml:space="preserve">kojeg donosi Vlada Republike Hrvatske na prijedlog </w:t>
      </w:r>
      <w:r w:rsidR="007B234F">
        <w:rPr>
          <w:bCs/>
        </w:rPr>
        <w:t>MZOZT</w:t>
      </w:r>
      <w:r w:rsidRPr="00F129B0">
        <w:rPr>
          <w:bCs/>
        </w:rPr>
        <w:t>-a. Također je propisano da se dio sredstava prikupljenih na primarnim dražbama uplaćuje u državni proračun Republike Hrvatske za pokrivanje troškova administriranja sustava trgovanja emisijskim jedinicama, za upravne poslove, poslove funkcioniranja Registra Unije, poslove dražbovatelja, Nacionalnog sustava za praćenje emisija stakleničkih plinova i drugih poslova vezanih za klimatske promjene i to u visini 5</w:t>
      </w:r>
      <w:r w:rsidR="00684208">
        <w:rPr>
          <w:bCs/>
        </w:rPr>
        <w:t xml:space="preserve"> </w:t>
      </w:r>
      <w:r w:rsidRPr="00F129B0">
        <w:rPr>
          <w:bCs/>
        </w:rPr>
        <w:t>% prikupljenih sredstava.</w:t>
      </w:r>
    </w:p>
    <w:p w14:paraId="477B02F2" w14:textId="2CE81698" w:rsidR="001712CA" w:rsidRDefault="004F72AA" w:rsidP="00E41DF8">
      <w:pPr>
        <w:spacing w:before="60" w:after="60"/>
        <w:ind w:firstLine="709"/>
      </w:pPr>
      <w:r w:rsidRPr="00F129B0">
        <w:t xml:space="preserve">Imajući u vidu pravilnu i učinkovitu upotrebu financijskih sredstava s ciljem ublažavanja posljedica klimatskih promjena i smanjenja emisija stakleničkih plinova kroz mjere ublažavanja i prilagodbe, Vlada Republike Hrvatske donijela je 22. veljače 2018. godine Odluku o donošenju </w:t>
      </w:r>
      <w:bookmarkStart w:id="3" w:name="_Hlk219280720"/>
      <w:r w:rsidRPr="00F129B0">
        <w:t xml:space="preserve">Plana korištenja financijskih sredstava dobivenih od prodaje emisijskih jedinica putem dražbi u Republici Hrvatskoj do 2020. godine </w:t>
      </w:r>
      <w:bookmarkEnd w:id="3"/>
      <w:r w:rsidRPr="00F129B0">
        <w:t>(</w:t>
      </w:r>
      <w:r>
        <w:t>„</w:t>
      </w:r>
      <w:r w:rsidRPr="00F129B0">
        <w:t>Narodne novine</w:t>
      </w:r>
      <w:r>
        <w:t>“</w:t>
      </w:r>
      <w:r w:rsidRPr="00F129B0">
        <w:t>, broj 19/18)</w:t>
      </w:r>
      <w:r w:rsidR="005928BB">
        <w:t>.</w:t>
      </w:r>
    </w:p>
    <w:p w14:paraId="4504BD10" w14:textId="65CF0CD2" w:rsidR="004F72AA" w:rsidRPr="00F129B0" w:rsidRDefault="001712CA" w:rsidP="00E41DF8">
      <w:pPr>
        <w:spacing w:before="60" w:after="60"/>
        <w:ind w:firstLine="709"/>
      </w:pPr>
      <w:r w:rsidRPr="00F129B0">
        <w:lastRenderedPageBreak/>
        <w:t xml:space="preserve">Na temelju proračuna količina emisijskih jedinica za Republiku Hrvatsku, pretpostavke o kretanju cijene, te zakonskim odredbama o raspodjeli sredstava, Planom se </w:t>
      </w:r>
      <w:r>
        <w:t xml:space="preserve">prvotno </w:t>
      </w:r>
      <w:r w:rsidRPr="00F129B0">
        <w:t xml:space="preserve">procijenio </w:t>
      </w:r>
      <w:r>
        <w:t>pretpostavljeni</w:t>
      </w:r>
      <w:r w:rsidRPr="00F129B0">
        <w:t xml:space="preserve"> prihod od prodaje emisijskih jedinica u Republici Hrvatskoj u iznosu od okvirno 825.000.000 KN.</w:t>
      </w:r>
      <w:r>
        <w:t xml:space="preserve"> </w:t>
      </w:r>
      <w:r w:rsidR="004F72AA" w:rsidRPr="00F129B0">
        <w:t xml:space="preserve">Odlukom je Vlada Republike Hrvatske zadužila </w:t>
      </w:r>
      <w:r w:rsidR="007B234F">
        <w:t>MZOZT (tadašnji MINGOR)</w:t>
      </w:r>
      <w:r w:rsidR="004F72AA" w:rsidRPr="00F129B0">
        <w:t xml:space="preserve"> i Fond za provedbu Plana</w:t>
      </w:r>
      <w:r w:rsidR="005928BB">
        <w:t xml:space="preserve"> </w:t>
      </w:r>
      <w:r w:rsidR="005928BB" w:rsidRPr="00F129B0">
        <w:t>korištenja financijskih sredstava dobivenih od prodaje emisijskih jedinica putem dražbi u Republici Hrvatskoj do 2020. godine</w:t>
      </w:r>
      <w:r w:rsidR="004F72AA" w:rsidRPr="00F129B0">
        <w:t>.</w:t>
      </w:r>
    </w:p>
    <w:p w14:paraId="6736D5BC" w14:textId="3A91982D" w:rsidR="004F72AA" w:rsidRPr="00F129B0" w:rsidRDefault="001712CA" w:rsidP="00E41DF8">
      <w:pPr>
        <w:spacing w:before="60" w:after="60"/>
        <w:ind w:firstLine="709"/>
      </w:pPr>
      <w:r>
        <w:rPr>
          <w:bCs/>
        </w:rPr>
        <w:t>Međutim, d</w:t>
      </w:r>
      <w:r w:rsidR="004F72AA" w:rsidRPr="00F129B0">
        <w:rPr>
          <w:bCs/>
        </w:rPr>
        <w:t xml:space="preserve">ana 5. rujna 2019. godine Vlada Republike Hrvatske donijela je Izmjene i dopune </w:t>
      </w:r>
      <w:r w:rsidR="004F72AA" w:rsidRPr="00F129B0">
        <w:t>Plana korištenja financijskih sredstava dobivenih od prodaje emisijskih jedinica putem dražbi u Republici Hrvatskoj do 2020. godine (</w:t>
      </w:r>
      <w:r w:rsidR="004F72AA">
        <w:t>„</w:t>
      </w:r>
      <w:r w:rsidR="004F72AA" w:rsidRPr="00F129B0">
        <w:t>Narodne novine</w:t>
      </w:r>
      <w:r w:rsidR="004F72AA">
        <w:t>“</w:t>
      </w:r>
      <w:r w:rsidR="004F72AA" w:rsidRPr="00F129B0">
        <w:t>, broj 84/19</w:t>
      </w:r>
      <w:r w:rsidR="00DF1F1C">
        <w:t>)</w:t>
      </w:r>
      <w:r w:rsidR="004F72AA" w:rsidRPr="00F129B0">
        <w:t xml:space="preserve">, i utvrdila novu raspodjelu prihoda po prioritetnim mjerama </w:t>
      </w:r>
      <w:r>
        <w:t xml:space="preserve">u iznosu </w:t>
      </w:r>
      <w:r w:rsidR="004F72AA" w:rsidRPr="00F129B0">
        <w:t>od 1.510.000.000 KN.</w:t>
      </w:r>
      <w:r w:rsidR="005928BB">
        <w:t xml:space="preserve"> Za potrebe lakšeg razumijevanja teksta ovog Izvješća, u daljnjem tekstu će </w:t>
      </w:r>
      <w:r w:rsidR="00D058CA">
        <w:t>se za naziv</w:t>
      </w:r>
      <w:r w:rsidR="00783EB3">
        <w:t>e</w:t>
      </w:r>
      <w:r w:rsidR="00D058CA">
        <w:t xml:space="preserve"> </w:t>
      </w:r>
      <w:r w:rsidR="00D058CA" w:rsidRPr="00F129B0">
        <w:t>Plana</w:t>
      </w:r>
      <w:r w:rsidR="00D058CA">
        <w:t xml:space="preserve"> </w:t>
      </w:r>
      <w:r w:rsidR="00D058CA" w:rsidRPr="00F129B0">
        <w:t>korištenja financijskih sredstava dobivenih od prodaje emisijskih jedinica putem dražbi u Republici Hrvatskoj do 2020. godine</w:t>
      </w:r>
      <w:r w:rsidR="00D058CA">
        <w:t xml:space="preserve"> i </w:t>
      </w:r>
      <w:r w:rsidR="00D058CA" w:rsidRPr="00F129B0">
        <w:rPr>
          <w:bCs/>
        </w:rPr>
        <w:t>Izmjen</w:t>
      </w:r>
      <w:r w:rsidR="00783EB3">
        <w:rPr>
          <w:bCs/>
        </w:rPr>
        <w:t>a</w:t>
      </w:r>
      <w:r w:rsidR="00D058CA" w:rsidRPr="00F129B0">
        <w:rPr>
          <w:bCs/>
        </w:rPr>
        <w:t xml:space="preserve"> i dopun</w:t>
      </w:r>
      <w:r w:rsidR="00783EB3">
        <w:rPr>
          <w:bCs/>
        </w:rPr>
        <w:t>a</w:t>
      </w:r>
      <w:r w:rsidR="00D058CA" w:rsidRPr="00F129B0">
        <w:rPr>
          <w:bCs/>
        </w:rPr>
        <w:t xml:space="preserve"> </w:t>
      </w:r>
      <w:r w:rsidR="00D058CA" w:rsidRPr="00F129B0">
        <w:t>Plana korištenja financijskih sredstava dobivenih od prodaje emisijskih jedinica putem dražbi u Republici Hrvatskoj do 2020. godine</w:t>
      </w:r>
      <w:r w:rsidR="00D058CA">
        <w:t xml:space="preserve"> koristiti naziv </w:t>
      </w:r>
      <w:r w:rsidR="00D058CA" w:rsidRPr="00D058CA">
        <w:rPr>
          <w:b/>
          <w:bCs/>
        </w:rPr>
        <w:t>Plan I</w:t>
      </w:r>
      <w:r w:rsidR="00D058CA">
        <w:t>.</w:t>
      </w:r>
    </w:p>
    <w:p w14:paraId="3DB26E08" w14:textId="0A161470" w:rsidR="004F72AA" w:rsidRPr="00F129B0" w:rsidRDefault="004F72AA" w:rsidP="00E41DF8">
      <w:pPr>
        <w:spacing w:before="60" w:after="60"/>
        <w:ind w:firstLine="709"/>
      </w:pPr>
      <w:r w:rsidRPr="00F129B0">
        <w:t xml:space="preserve">Odluka Vlade Republike Hrvatske o donošenju </w:t>
      </w:r>
      <w:bookmarkStart w:id="4" w:name="_Hlk156468397"/>
      <w:bookmarkStart w:id="5" w:name="_Hlk216593572"/>
      <w:r w:rsidRPr="00DF1F1C">
        <w:rPr>
          <w:b/>
          <w:bCs/>
        </w:rPr>
        <w:t xml:space="preserve">Plana </w:t>
      </w:r>
      <w:r w:rsidR="00DF1F1C" w:rsidRPr="00DF1F1C">
        <w:rPr>
          <w:b/>
          <w:bCs/>
        </w:rPr>
        <w:t>I</w:t>
      </w:r>
      <w:r w:rsidR="0086795A">
        <w:rPr>
          <w:b/>
          <w:bCs/>
        </w:rPr>
        <w:t>.</w:t>
      </w:r>
      <w:r w:rsidR="00DF1F1C">
        <w:t xml:space="preserve"> </w:t>
      </w:r>
      <w:bookmarkEnd w:id="4"/>
      <w:bookmarkEnd w:id="5"/>
      <w:r w:rsidRPr="00F129B0">
        <w:t>također propisuj</w:t>
      </w:r>
      <w:r w:rsidR="00D058CA">
        <w:t>e</w:t>
      </w:r>
      <w:r w:rsidRPr="00F129B0">
        <w:t xml:space="preserve"> da  </w:t>
      </w:r>
      <w:r w:rsidR="00D058CA">
        <w:t>ministarstvo nadležno za zaštitu okoliša</w:t>
      </w:r>
      <w:r w:rsidRPr="00F129B0">
        <w:t xml:space="preserve"> prema procjeni i potrebi provodi preraspodjelu prikupljenih prihoda za financiranje mjera u iznosu do najviše 15</w:t>
      </w:r>
      <w:r w:rsidR="009719AC">
        <w:t xml:space="preserve"> </w:t>
      </w:r>
      <w:r w:rsidRPr="00F129B0">
        <w:t>% ukupnih financijskih sredstava.</w:t>
      </w:r>
    </w:p>
    <w:p w14:paraId="7A5A5930" w14:textId="0D29BB65" w:rsidR="003365BD" w:rsidRDefault="004F72AA" w:rsidP="003365BD">
      <w:pPr>
        <w:spacing w:before="60" w:after="60"/>
        <w:ind w:firstLine="709"/>
        <w:rPr>
          <w:b/>
          <w:bCs/>
        </w:rPr>
      </w:pPr>
      <w:r w:rsidRPr="00F129B0">
        <w:t>S tim u vezi</w:t>
      </w:r>
      <w:r w:rsidR="009719AC">
        <w:t>,</w:t>
      </w:r>
      <w:r w:rsidRPr="00F129B0">
        <w:t xml:space="preserve"> Fond je početkom studenog 2019. predložio </w:t>
      </w:r>
      <w:r w:rsidR="0045661E">
        <w:t xml:space="preserve">MZOZT-u (tadašnjem </w:t>
      </w:r>
      <w:r w:rsidRPr="00F129B0">
        <w:t>MINGOR-u</w:t>
      </w:r>
      <w:r w:rsidR="0045661E">
        <w:t>)</w:t>
      </w:r>
      <w:r w:rsidRPr="00F129B0">
        <w:t xml:space="preserve"> provedbu preraspodjele na što je </w:t>
      </w:r>
      <w:r w:rsidR="0045661E">
        <w:t>MZOZT (</w:t>
      </w:r>
      <w:r w:rsidRPr="00F129B0">
        <w:t>MINGOR</w:t>
      </w:r>
      <w:r w:rsidR="0045661E">
        <w:t>)</w:t>
      </w:r>
      <w:r w:rsidRPr="00F129B0">
        <w:t xml:space="preserve"> dao 19. studenog 2019. suglasnost (Klasa: 402-01/18-01/08, </w:t>
      </w:r>
      <w:proofErr w:type="spellStart"/>
      <w:r w:rsidRPr="00F129B0">
        <w:t>Urbroj</w:t>
      </w:r>
      <w:proofErr w:type="spellEnd"/>
      <w:r w:rsidRPr="00F129B0">
        <w:t>: 517-04-1-1-19-39</w:t>
      </w:r>
      <w:r w:rsidRPr="00DA29E1">
        <w:t xml:space="preserve">) </w:t>
      </w:r>
      <w:r w:rsidR="001712CA" w:rsidRPr="00DA29E1">
        <w:rPr>
          <w:b/>
          <w:bCs/>
        </w:rPr>
        <w:t>te je na taj način utvrđena konačna raspodjela sredstava po pripadajućim mjerama.</w:t>
      </w:r>
    </w:p>
    <w:p w14:paraId="1949D73A" w14:textId="1BCD0BE0" w:rsidR="003365BD" w:rsidRDefault="003365BD" w:rsidP="003365BD">
      <w:pPr>
        <w:spacing w:before="60" w:after="60"/>
        <w:ind w:firstLine="567"/>
      </w:pPr>
      <w:bookmarkStart w:id="6" w:name="_Hlk156469989"/>
      <w:r>
        <w:t>Korištenje sredstava</w:t>
      </w:r>
      <w:r w:rsidRPr="003365BD">
        <w:t xml:space="preserve"> od dražbi u 2023. i 2024. sukladno Planu I. </w:t>
      </w:r>
      <w:bookmarkEnd w:id="6"/>
      <w:r w:rsidRPr="003365BD">
        <w:t>prikazani su u poglavlju 2. Plan korištenja financijskih sredstava dobivenih od prodaje emisijskih jedinica putem dražbi u Republici Hrvatskoj do 2020. godine – Plan I.</w:t>
      </w:r>
    </w:p>
    <w:p w14:paraId="0A43037A" w14:textId="7E87BC54" w:rsidR="003365BD" w:rsidRPr="00884EA3" w:rsidRDefault="003365BD" w:rsidP="003365BD">
      <w:pPr>
        <w:spacing w:before="60" w:after="60"/>
        <w:ind w:firstLine="567"/>
      </w:pPr>
      <w:r w:rsidRPr="00884EA3">
        <w:t xml:space="preserve">Imajući u vidu pravilnu i učinkovitu upotrebu financijskih sredstava s ciljem ublažavanja posljedica klimatskih promjena i smanjenja emisija stakleničkih plinova kroz mjere ublažavanja i prilagodbe, Vlada Republike Hrvatske donijela je 18. lipnja 2021. godine </w:t>
      </w:r>
      <w:r w:rsidRPr="00884EA3">
        <w:rPr>
          <w:i/>
          <w:iCs/>
        </w:rPr>
        <w:t xml:space="preserve">Odluku o donošenju </w:t>
      </w:r>
      <w:bookmarkStart w:id="7" w:name="_Hlk219288674"/>
      <w:r w:rsidRPr="00884EA3">
        <w:rPr>
          <w:i/>
          <w:iCs/>
        </w:rPr>
        <w:t>Plana korištenja financijskih sredstava dobivenih od prodaje emisijskih jedinica putem dražbi u Republici Hrvatskoj od 2021. do 2025. godine</w:t>
      </w:r>
      <w:r w:rsidRPr="00884EA3">
        <w:t xml:space="preserve"> </w:t>
      </w:r>
      <w:bookmarkEnd w:id="7"/>
      <w:r w:rsidRPr="00884EA3">
        <w:t>(K</w:t>
      </w:r>
      <w:r>
        <w:t>LASA</w:t>
      </w:r>
      <w:r w:rsidRPr="00884EA3">
        <w:t xml:space="preserve">: 022-03/21-04/76, </w:t>
      </w:r>
      <w:r>
        <w:t>URBROJ</w:t>
      </w:r>
      <w:r w:rsidRPr="00884EA3">
        <w:t>: 50301-05/27-21-3</w:t>
      </w:r>
      <w:r w:rsidRPr="00712386">
        <w:t>).</w:t>
      </w:r>
      <w:r w:rsidRPr="00884EA3">
        <w:t xml:space="preserve"> Odlukom je Vlada Republike Hrvatske zadužila </w:t>
      </w:r>
      <w:r>
        <w:t xml:space="preserve">MZOZT (tadašnji </w:t>
      </w:r>
      <w:r w:rsidRPr="00884EA3">
        <w:t>MINGOR</w:t>
      </w:r>
      <w:r>
        <w:t>)</w:t>
      </w:r>
      <w:r w:rsidRPr="00884EA3">
        <w:t xml:space="preserve"> i Fond za provedbu Plana.</w:t>
      </w:r>
    </w:p>
    <w:p w14:paraId="47E905C2" w14:textId="3B74786D" w:rsidR="003365BD" w:rsidRPr="00EA0614" w:rsidRDefault="003365BD" w:rsidP="003365BD">
      <w:pPr>
        <w:spacing w:before="60" w:after="60"/>
        <w:ind w:firstLine="567"/>
        <w:rPr>
          <w:b/>
          <w:bCs/>
        </w:rPr>
      </w:pPr>
      <w:r w:rsidRPr="00884EA3">
        <w:t xml:space="preserve">Na temelju proračuna količina emisijskih jedinica za Republiku Hrvatsku, pretpostavke o kretanju cijene, te zakonskim odredbama o raspodjeli sredstava, Planom </w:t>
      </w:r>
      <w:r>
        <w:t>j</w:t>
      </w:r>
      <w:r w:rsidRPr="00884EA3">
        <w:t>e procijen</w:t>
      </w:r>
      <w:r>
        <w:t>jen</w:t>
      </w:r>
      <w:r w:rsidRPr="00884EA3">
        <w:t xml:space="preserve">, za razdoblje od 2021. do 2025., očekivani prihod od prodaje emisijskih jedinica u Republici Hrvatskoj u iznosu od </w:t>
      </w:r>
      <w:r w:rsidRPr="00EA0614">
        <w:t xml:space="preserve">okvirno </w:t>
      </w:r>
      <w:r w:rsidRPr="003365BD">
        <w:rPr>
          <w:b/>
          <w:bCs/>
        </w:rPr>
        <w:t>386.169.400 EUR</w:t>
      </w:r>
      <w:r>
        <w:t xml:space="preserve"> (</w:t>
      </w:r>
      <w:r w:rsidRPr="00783EB3">
        <w:t>2.905.609.235,60 HRK)</w:t>
      </w:r>
      <w:r w:rsidRPr="00EA0614">
        <w:t xml:space="preserve"> u što je uključen </w:t>
      </w:r>
      <w:r>
        <w:t xml:space="preserve">i </w:t>
      </w:r>
      <w:r w:rsidRPr="00EA0614">
        <w:t xml:space="preserve">prijenos iz Plana </w:t>
      </w:r>
      <w:r>
        <w:t>I. u</w:t>
      </w:r>
      <w:r w:rsidRPr="00EA0614">
        <w:t xml:space="preserve"> iznos</w:t>
      </w:r>
      <w:r>
        <w:t>u</w:t>
      </w:r>
      <w:r w:rsidRPr="00EA0614">
        <w:t xml:space="preserve"> od </w:t>
      </w:r>
      <w:r w:rsidRPr="00775F67">
        <w:rPr>
          <w:rFonts w:eastAsia="Times New Roman"/>
          <w:b/>
          <w:bCs/>
          <w:color w:val="000000"/>
          <w:lang w:eastAsia="hr-HR"/>
        </w:rPr>
        <w:t>25.145.027,62</w:t>
      </w:r>
      <w:r>
        <w:rPr>
          <w:rFonts w:eastAsia="Times New Roman"/>
          <w:b/>
          <w:bCs/>
          <w:color w:val="000000"/>
          <w:lang w:eastAsia="hr-HR"/>
        </w:rPr>
        <w:t xml:space="preserve"> EUR </w:t>
      </w:r>
      <w:r w:rsidRPr="00783EB3">
        <w:rPr>
          <w:rFonts w:eastAsia="Times New Roman"/>
          <w:color w:val="000000"/>
          <w:lang w:eastAsia="hr-HR"/>
        </w:rPr>
        <w:t>(</w:t>
      </w:r>
      <w:r w:rsidRPr="00783EB3">
        <w:t>189.455.210,60 HRK).</w:t>
      </w:r>
    </w:p>
    <w:p w14:paraId="34057969" w14:textId="63EDBC1C" w:rsidR="00783EB3" w:rsidRPr="00F129B0" w:rsidRDefault="003365BD" w:rsidP="00783EB3">
      <w:pPr>
        <w:spacing w:before="60" w:after="60"/>
        <w:ind w:firstLine="709"/>
      </w:pPr>
      <w:r w:rsidRPr="00F04694">
        <w:t xml:space="preserve">Vlada Republike Hrvatske je </w:t>
      </w:r>
      <w:r>
        <w:t xml:space="preserve">dana 9. ožujka 2022. godine donijela </w:t>
      </w:r>
      <w:r w:rsidRPr="00D67735">
        <w:rPr>
          <w:i/>
          <w:iCs/>
        </w:rPr>
        <w:t>Odluku o donošenju Izmjena i dopuna Plana korištenja financijskih sredstava dobivenih od prodaje emisijskih jedinica putem dražbi u Republici Hrvatskoj od 2021. do 2025. godine</w:t>
      </w:r>
      <w:r>
        <w:t xml:space="preserve"> (KLASA: 022-03/22-04/82, URBROJ: 50301-05/27-22-2</w:t>
      </w:r>
      <w:r w:rsidRPr="00712386">
        <w:t>)</w:t>
      </w:r>
      <w:r>
        <w:t xml:space="preserve"> kojom je ispravljena prosječna cijena emisijskih jedinica </w:t>
      </w:r>
      <w:r>
        <w:lastRenderedPageBreak/>
        <w:t>u primarnoj dražbi</w:t>
      </w:r>
      <w:r w:rsidR="00783EB3">
        <w:t xml:space="preserve"> zbog značajnog porasta cijene emisijskih jedinica u razdoblju 2021. – 2022.</w:t>
      </w:r>
      <w:r>
        <w:t xml:space="preserve"> temeljem čega je proveden novi izračun očekivanog prihoda od prodaje emisijskih jedinica u iznosu od okvirno </w:t>
      </w:r>
      <w:r w:rsidR="00783EB3" w:rsidRPr="00783EB3">
        <w:rPr>
          <w:b/>
          <w:bCs/>
        </w:rPr>
        <w:t>595.548.518,80 EUR</w:t>
      </w:r>
      <w:r w:rsidR="00783EB3">
        <w:t xml:space="preserve"> (</w:t>
      </w:r>
      <w:r>
        <w:t>4.485.424.291 HRK</w:t>
      </w:r>
      <w:r w:rsidR="00783EB3">
        <w:t>)</w:t>
      </w:r>
      <w:r>
        <w:t xml:space="preserve"> na koji je dodan neutrošeni iznos od </w:t>
      </w:r>
      <w:r w:rsidR="00783EB3" w:rsidRPr="00775F67">
        <w:rPr>
          <w:rFonts w:eastAsia="Times New Roman"/>
          <w:b/>
          <w:bCs/>
          <w:color w:val="000000"/>
          <w:lang w:eastAsia="hr-HR"/>
        </w:rPr>
        <w:t>25.145.027,62</w:t>
      </w:r>
      <w:r w:rsidR="00783EB3">
        <w:rPr>
          <w:rFonts w:eastAsia="Times New Roman"/>
          <w:b/>
          <w:bCs/>
          <w:color w:val="000000"/>
          <w:lang w:eastAsia="hr-HR"/>
        </w:rPr>
        <w:t xml:space="preserve"> EUR </w:t>
      </w:r>
      <w:r w:rsidR="00783EB3" w:rsidRPr="00783EB3">
        <w:rPr>
          <w:rFonts w:eastAsia="Times New Roman"/>
          <w:color w:val="000000"/>
          <w:lang w:eastAsia="hr-HR"/>
        </w:rPr>
        <w:t>(</w:t>
      </w:r>
      <w:r w:rsidRPr="00783EB3">
        <w:t>1</w:t>
      </w:r>
      <w:r>
        <w:t>89.455.210 HRK</w:t>
      </w:r>
      <w:r w:rsidR="00783EB3">
        <w:t>)</w:t>
      </w:r>
      <w:r>
        <w:t xml:space="preserve"> iz </w:t>
      </w:r>
      <w:r w:rsidR="00783EB3">
        <w:t>Plana I.</w:t>
      </w:r>
      <w:r>
        <w:t xml:space="preserve">, te je </w:t>
      </w:r>
      <w:r w:rsidR="00783EB3">
        <w:t xml:space="preserve">utvrđen </w:t>
      </w:r>
      <w:r>
        <w:t xml:space="preserve">novi ukupni iznos raspoloživ za financiranje u razdoblju od 2021. do 2025. od </w:t>
      </w:r>
      <w:r w:rsidR="00783EB3" w:rsidRPr="00783EB3">
        <w:rPr>
          <w:b/>
          <w:bCs/>
          <w:u w:val="single"/>
        </w:rPr>
        <w:t>620.693.546.42 EUR</w:t>
      </w:r>
      <w:r w:rsidR="00783EB3">
        <w:t xml:space="preserve"> </w:t>
      </w:r>
      <w:r w:rsidR="00783EB3" w:rsidRPr="00783EB3">
        <w:t>(</w:t>
      </w:r>
      <w:r w:rsidRPr="00783EB3">
        <w:t>4.674.879.501 HRK</w:t>
      </w:r>
      <w:r w:rsidR="00783EB3" w:rsidRPr="00783EB3">
        <w:t xml:space="preserve">). </w:t>
      </w:r>
      <w:r w:rsidR="00783EB3">
        <w:t xml:space="preserve">Za potrebe lakšeg razumijevanja teksta ovog Izvješća, u daljnjem tekstu će se za nazive </w:t>
      </w:r>
      <w:r w:rsidR="00783EB3" w:rsidRPr="00F129B0">
        <w:t>Plana</w:t>
      </w:r>
      <w:r w:rsidR="00783EB3">
        <w:t xml:space="preserve"> </w:t>
      </w:r>
      <w:r w:rsidR="00783EB3" w:rsidRPr="00F129B0">
        <w:t xml:space="preserve">korištenja financijskih sredstava dobivenih od prodaje emisijskih jedinica putem dražbi u Republici Hrvatskoj </w:t>
      </w:r>
      <w:r w:rsidR="00783EB3">
        <w:t>od 2021. do 2025</w:t>
      </w:r>
      <w:r w:rsidR="00783EB3" w:rsidRPr="00F129B0">
        <w:t>. godine</w:t>
      </w:r>
      <w:r w:rsidR="00783EB3">
        <w:t xml:space="preserve"> i </w:t>
      </w:r>
      <w:r w:rsidR="00783EB3" w:rsidRPr="00F129B0">
        <w:rPr>
          <w:bCs/>
        </w:rPr>
        <w:t>Izmjen</w:t>
      </w:r>
      <w:r w:rsidR="00783EB3">
        <w:rPr>
          <w:bCs/>
        </w:rPr>
        <w:t>a</w:t>
      </w:r>
      <w:r w:rsidR="00783EB3" w:rsidRPr="00F129B0">
        <w:rPr>
          <w:bCs/>
        </w:rPr>
        <w:t xml:space="preserve"> i dopun</w:t>
      </w:r>
      <w:r w:rsidR="00783EB3">
        <w:rPr>
          <w:bCs/>
        </w:rPr>
        <w:t>a</w:t>
      </w:r>
      <w:r w:rsidR="00783EB3" w:rsidRPr="00F129B0">
        <w:rPr>
          <w:bCs/>
        </w:rPr>
        <w:t xml:space="preserve"> </w:t>
      </w:r>
      <w:r w:rsidR="00783EB3" w:rsidRPr="00F129B0">
        <w:t xml:space="preserve">Plana korištenja financijskih sredstava dobivenih od prodaje emisijskih jedinica putem dražbi u Republici Hrvatskoj </w:t>
      </w:r>
      <w:r w:rsidR="00783EB3">
        <w:t>od 2021. do 2025</w:t>
      </w:r>
      <w:r w:rsidR="00783EB3" w:rsidRPr="00F129B0">
        <w:t>. godine</w:t>
      </w:r>
      <w:r w:rsidR="00783EB3">
        <w:t xml:space="preserve"> koristiti naziv </w:t>
      </w:r>
      <w:r w:rsidR="00783EB3" w:rsidRPr="00D058CA">
        <w:rPr>
          <w:b/>
          <w:bCs/>
        </w:rPr>
        <w:t xml:space="preserve">Plan </w:t>
      </w:r>
      <w:r w:rsidR="00783EB3">
        <w:rPr>
          <w:b/>
          <w:bCs/>
        </w:rPr>
        <w:t>I</w:t>
      </w:r>
      <w:r w:rsidR="00783EB3" w:rsidRPr="00D058CA">
        <w:rPr>
          <w:b/>
          <w:bCs/>
        </w:rPr>
        <w:t>I</w:t>
      </w:r>
      <w:r w:rsidR="00783EB3">
        <w:t>.</w:t>
      </w:r>
    </w:p>
    <w:p w14:paraId="123EBCC8" w14:textId="77777777" w:rsidR="00783EB3" w:rsidRDefault="00783EB3" w:rsidP="00783EB3">
      <w:pPr>
        <w:spacing w:before="60" w:after="60"/>
        <w:rPr>
          <w:b/>
          <w:bCs/>
          <w:u w:val="single"/>
        </w:rPr>
      </w:pPr>
    </w:p>
    <w:p w14:paraId="6D0CF211" w14:textId="244D44C0" w:rsidR="003365BD" w:rsidRPr="003244DC" w:rsidRDefault="003365BD" w:rsidP="003365BD">
      <w:pPr>
        <w:spacing w:before="60" w:after="60"/>
        <w:ind w:firstLine="567"/>
        <w:rPr>
          <w:b/>
          <w:bCs/>
        </w:rPr>
      </w:pPr>
      <w:r w:rsidRPr="003244DC">
        <w:rPr>
          <w:b/>
          <w:bCs/>
        </w:rPr>
        <w:t>Rashodi sredstava od dražbi u 202</w:t>
      </w:r>
      <w:r>
        <w:rPr>
          <w:b/>
          <w:bCs/>
        </w:rPr>
        <w:t>3</w:t>
      </w:r>
      <w:r w:rsidRPr="003244DC">
        <w:rPr>
          <w:b/>
          <w:bCs/>
        </w:rPr>
        <w:t>. i 202</w:t>
      </w:r>
      <w:r>
        <w:rPr>
          <w:b/>
          <w:bCs/>
        </w:rPr>
        <w:t>4</w:t>
      </w:r>
      <w:r w:rsidRPr="003244DC">
        <w:rPr>
          <w:b/>
          <w:bCs/>
        </w:rPr>
        <w:t xml:space="preserve">. sukladno Planu </w:t>
      </w:r>
      <w:r>
        <w:rPr>
          <w:b/>
          <w:bCs/>
        </w:rPr>
        <w:t>II</w:t>
      </w:r>
      <w:r w:rsidR="00783EB3">
        <w:rPr>
          <w:b/>
          <w:bCs/>
        </w:rPr>
        <w:t xml:space="preserve">. </w:t>
      </w:r>
      <w:r w:rsidRPr="003244DC">
        <w:rPr>
          <w:b/>
          <w:bCs/>
        </w:rPr>
        <w:t xml:space="preserve">prikazani su u </w:t>
      </w:r>
      <w:r>
        <w:rPr>
          <w:b/>
          <w:bCs/>
        </w:rPr>
        <w:t xml:space="preserve">poglavlju 3. </w:t>
      </w:r>
      <w:r w:rsidR="00783EB3" w:rsidRPr="00783EB3">
        <w:rPr>
          <w:b/>
          <w:bCs/>
        </w:rPr>
        <w:t>Plan korištenja financijskih sredstava dobivenih od prodaje emisijskih jedinica putem dražbi u Republici Hrvatskoj od 2021. do 2025. godine – Plan II</w:t>
      </w:r>
      <w:r>
        <w:rPr>
          <w:b/>
          <w:bCs/>
        </w:rPr>
        <w:t>.</w:t>
      </w:r>
    </w:p>
    <w:p w14:paraId="40F7A222" w14:textId="77777777" w:rsidR="003365BD" w:rsidRPr="00DA29E1" w:rsidRDefault="003365BD" w:rsidP="00783EB3">
      <w:pPr>
        <w:spacing w:before="60" w:after="60"/>
        <w:rPr>
          <w:b/>
          <w:bCs/>
          <w:strike/>
        </w:rPr>
      </w:pPr>
    </w:p>
    <w:p w14:paraId="164D9F6D" w14:textId="3F5132F1" w:rsidR="00D058CA" w:rsidRDefault="00975AD7" w:rsidP="00A378E0">
      <w:pPr>
        <w:spacing w:before="60" w:after="60"/>
        <w:ind w:firstLine="567"/>
      </w:pPr>
      <w:r w:rsidRPr="004E4973">
        <w:t xml:space="preserve">S tim u svezi, a u odnosu na </w:t>
      </w:r>
      <w:r w:rsidR="004E4973" w:rsidRPr="004E4973">
        <w:t>gore citirane Odluke Vlade Republike Hrvatske</w:t>
      </w:r>
      <w:r w:rsidR="00D058CA">
        <w:t xml:space="preserve">, do sada je </w:t>
      </w:r>
      <w:r w:rsidR="004E4973" w:rsidRPr="004E4973">
        <w:t>Vlad</w:t>
      </w:r>
      <w:r w:rsidR="00D058CA">
        <w:t>a</w:t>
      </w:r>
      <w:r w:rsidR="004E4973" w:rsidRPr="004E4973">
        <w:t xml:space="preserve"> Republike Hrvatske</w:t>
      </w:r>
      <w:r w:rsidR="00D058CA">
        <w:t xml:space="preserve"> donijela sljedeće</w:t>
      </w:r>
      <w:r w:rsidR="00372730">
        <w:t xml:space="preserve"> zaključke</w:t>
      </w:r>
      <w:r w:rsidR="00D058CA">
        <w:t>:</w:t>
      </w:r>
    </w:p>
    <w:p w14:paraId="30B029E2" w14:textId="05B69983" w:rsidR="00D058CA" w:rsidRDefault="004E4973" w:rsidP="00077A5D">
      <w:pPr>
        <w:pStyle w:val="Odlomakpopisa"/>
        <w:numPr>
          <w:ilvl w:val="0"/>
          <w:numId w:val="30"/>
        </w:numPr>
        <w:spacing w:before="60" w:after="60"/>
      </w:pPr>
      <w:r w:rsidRPr="00D058CA">
        <w:rPr>
          <w:i/>
          <w:iCs/>
        </w:rPr>
        <w:t>Zaključak o prihvaćanju Izvješća o korištenju financijskih sredstava dobivenih od prodaje emisijskih jedinica putem dražbi u Republici Hrvatskoj u 2017. i 2018. godini</w:t>
      </w:r>
      <w:r w:rsidRPr="004E4973">
        <w:t xml:space="preserve"> (KLASA: 022-03/20-07/127, URBROJ: 50301-25/27-20-2) od 4. lipnja 2020. </w:t>
      </w:r>
    </w:p>
    <w:p w14:paraId="5B40B6EF" w14:textId="291C2FB4" w:rsidR="00D058CA" w:rsidRDefault="004E4973" w:rsidP="00077A5D">
      <w:pPr>
        <w:pStyle w:val="Odlomakpopisa"/>
        <w:numPr>
          <w:ilvl w:val="0"/>
          <w:numId w:val="30"/>
        </w:numPr>
        <w:spacing w:before="60" w:after="60"/>
      </w:pPr>
      <w:r w:rsidRPr="00D058CA">
        <w:rPr>
          <w:i/>
          <w:iCs/>
        </w:rPr>
        <w:t>Zaključak o prihvaćanju Izvješća o korištenju financijskih sredstava dobivenih od prodaje emisijskih jedinica putem dražbi u Republici Hrvatskoj u 2019. i 2020. godini</w:t>
      </w:r>
      <w:r w:rsidRPr="004E4973">
        <w:t xml:space="preserve"> (KLASA: 022-03/21-07/475, URBROJ: 50301-05/31-22-4) od 29. rujna 2022. </w:t>
      </w:r>
    </w:p>
    <w:p w14:paraId="705C676A" w14:textId="395ED24D" w:rsidR="0045661E" w:rsidRPr="0045661E" w:rsidRDefault="0045661E" w:rsidP="00077A5D">
      <w:pPr>
        <w:pStyle w:val="Odlomakpopisa"/>
        <w:numPr>
          <w:ilvl w:val="0"/>
          <w:numId w:val="30"/>
        </w:numPr>
        <w:spacing w:before="60" w:after="60"/>
      </w:pPr>
      <w:r w:rsidRPr="00D058CA">
        <w:rPr>
          <w:i/>
          <w:iCs/>
        </w:rPr>
        <w:t>Zaključ</w:t>
      </w:r>
      <w:r w:rsidR="00372730">
        <w:rPr>
          <w:i/>
          <w:iCs/>
        </w:rPr>
        <w:t>ak</w:t>
      </w:r>
      <w:r w:rsidRPr="00D058CA">
        <w:rPr>
          <w:i/>
          <w:iCs/>
        </w:rPr>
        <w:t xml:space="preserve"> o prihvaćanju Izvješća o korištenju financijskih sredstava dobivenih od prodaje emisijskih jedinica putem dražbi u Republici Hrvatskoj u 2021. i 2022. godini</w:t>
      </w:r>
      <w:r w:rsidRPr="0045661E">
        <w:t xml:space="preserve"> (KLASA: 022-03/2</w:t>
      </w:r>
      <w:r>
        <w:t>4</w:t>
      </w:r>
      <w:r w:rsidRPr="0045661E">
        <w:t>-07/</w:t>
      </w:r>
      <w:r>
        <w:t>138,</w:t>
      </w:r>
      <w:r w:rsidRPr="0045661E">
        <w:t xml:space="preserve"> URBROJ: 50301-05/</w:t>
      </w:r>
      <w:r>
        <w:t>16-24-4</w:t>
      </w:r>
      <w:r w:rsidRPr="0045661E">
        <w:t xml:space="preserve">) od </w:t>
      </w:r>
      <w:r>
        <w:t>15</w:t>
      </w:r>
      <w:r w:rsidRPr="0045661E">
        <w:t xml:space="preserve">. </w:t>
      </w:r>
      <w:r>
        <w:t>travnja</w:t>
      </w:r>
      <w:r w:rsidRPr="0045661E">
        <w:t xml:space="preserve"> 202</w:t>
      </w:r>
      <w:r>
        <w:t>4</w:t>
      </w:r>
      <w:r w:rsidRPr="0045661E">
        <w:t xml:space="preserve">. </w:t>
      </w:r>
    </w:p>
    <w:p w14:paraId="5A2DF3F4" w14:textId="6E89BBB9" w:rsidR="00975AD7" w:rsidRDefault="00465981" w:rsidP="00465981">
      <w:pPr>
        <w:spacing w:before="60" w:after="60"/>
        <w:ind w:firstLine="567"/>
      </w:pPr>
      <w:r w:rsidRPr="00BA2E34">
        <w:t xml:space="preserve">Nastavno na navedeno </w:t>
      </w:r>
      <w:r w:rsidR="0045661E">
        <w:t>MZOZT</w:t>
      </w:r>
      <w:r w:rsidRPr="00BA2E34">
        <w:t xml:space="preserve"> dostavlja </w:t>
      </w:r>
      <w:r w:rsidRPr="00BA2E34">
        <w:rPr>
          <w:i/>
          <w:iCs/>
        </w:rPr>
        <w:t>Izvješće o korištenju financijskih sredstava dobivenih od prodaje emisijskih jedinica putem dražbi u Republici Hrvatskoj u 202</w:t>
      </w:r>
      <w:r w:rsidR="0045661E">
        <w:rPr>
          <w:i/>
          <w:iCs/>
        </w:rPr>
        <w:t>3</w:t>
      </w:r>
      <w:r w:rsidRPr="00BA2E34">
        <w:rPr>
          <w:i/>
          <w:iCs/>
        </w:rPr>
        <w:t>. i 202</w:t>
      </w:r>
      <w:r w:rsidR="0045661E">
        <w:rPr>
          <w:i/>
          <w:iCs/>
        </w:rPr>
        <w:t>4</w:t>
      </w:r>
      <w:r w:rsidRPr="00BA2E34">
        <w:rPr>
          <w:i/>
          <w:iCs/>
        </w:rPr>
        <w:t xml:space="preserve">. godini </w:t>
      </w:r>
      <w:r w:rsidRPr="00BA2E34">
        <w:t>uz napomenu da je</w:t>
      </w:r>
      <w:r w:rsidR="00975AD7" w:rsidRPr="00BA2E34">
        <w:t xml:space="preserve"> Fond</w:t>
      </w:r>
      <w:r w:rsidRPr="00BA2E34">
        <w:t>, koji je zadužen za provedbu Plana,</w:t>
      </w:r>
      <w:r w:rsidR="00975AD7" w:rsidRPr="00BA2E34">
        <w:t xml:space="preserve"> u skladu s programima rada Fonda i pripadajućim financijskim planovima za razdoblje od 2017. do k</w:t>
      </w:r>
      <w:r w:rsidR="003E4B65">
        <w:t>raja</w:t>
      </w:r>
      <w:r w:rsidR="00975AD7" w:rsidRPr="00BA2E34">
        <w:t xml:space="preserve"> 2020. godine, te sukladno </w:t>
      </w:r>
      <w:r w:rsidR="00975AD7" w:rsidRPr="00372730">
        <w:rPr>
          <w:b/>
          <w:bCs/>
        </w:rPr>
        <w:t>Planu</w:t>
      </w:r>
      <w:r w:rsidR="00DF1F1C" w:rsidRPr="00372730">
        <w:rPr>
          <w:b/>
          <w:bCs/>
        </w:rPr>
        <w:t xml:space="preserve"> I</w:t>
      </w:r>
      <w:r w:rsidR="003E4B65" w:rsidRPr="00372730">
        <w:rPr>
          <w:b/>
          <w:bCs/>
        </w:rPr>
        <w:t>.</w:t>
      </w:r>
      <w:r w:rsidR="00975AD7" w:rsidRPr="00372730">
        <w:rPr>
          <w:b/>
          <w:bCs/>
        </w:rPr>
        <w:t>,</w:t>
      </w:r>
      <w:r w:rsidR="00975AD7" w:rsidRPr="00BA2E34">
        <w:t xml:space="preserve"> preuzimao obvezu sufinanciranja/financiranja i projekata s višegodišnjim rokom za realizaciju, kojima su zbog okolnosti uzrokovane potresom koji je pogodio grad Zagreb i Banovinu te globalnom pandemijom </w:t>
      </w:r>
      <w:r w:rsidR="003E4B65">
        <w:t xml:space="preserve">bolesti </w:t>
      </w:r>
      <w:r w:rsidR="00975AD7" w:rsidRPr="00BA2E34">
        <w:t>COVID -</w:t>
      </w:r>
      <w:r w:rsidR="003E4B65">
        <w:t xml:space="preserve"> </w:t>
      </w:r>
      <w:r w:rsidR="00975AD7" w:rsidRPr="00BA2E34">
        <w:t xml:space="preserve">19 odobreni dodatni rokovi za realizaciju i završetak projekata, </w:t>
      </w:r>
      <w:r w:rsidR="00BA2E34" w:rsidRPr="00BA2E34">
        <w:rPr>
          <w:u w:val="single"/>
        </w:rPr>
        <w:t>tako da je</w:t>
      </w:r>
      <w:r w:rsidR="00975AD7" w:rsidRPr="00BA2E34">
        <w:rPr>
          <w:u w:val="single"/>
        </w:rPr>
        <w:t xml:space="preserve"> </w:t>
      </w:r>
      <w:r w:rsidR="00975AD7" w:rsidRPr="00BA2E34">
        <w:rPr>
          <w:b/>
          <w:bCs/>
          <w:u w:val="single"/>
        </w:rPr>
        <w:t>nastala potreba za daljnjim izvješćivanjem o realiziranim godišnjim sredstvima</w:t>
      </w:r>
      <w:r w:rsidR="00975AD7" w:rsidRPr="00BA2E34">
        <w:t xml:space="preserve"> od ukupno preuzetih obveza koje su preuzete do roka važenja Plana</w:t>
      </w:r>
      <w:r w:rsidR="00EC0ADB" w:rsidRPr="00BA2E34">
        <w:t xml:space="preserve"> </w:t>
      </w:r>
      <w:r w:rsidR="00DF1F1C">
        <w:t>I</w:t>
      </w:r>
      <w:r w:rsidR="003E4B65">
        <w:t>.</w:t>
      </w:r>
      <w:r w:rsidR="00DF1F1C">
        <w:t xml:space="preserve"> </w:t>
      </w:r>
      <w:r w:rsidR="00EC0ADB" w:rsidRPr="00BA2E34">
        <w:t xml:space="preserve">do </w:t>
      </w:r>
      <w:r w:rsidR="00DF1F1C">
        <w:t>k</w:t>
      </w:r>
      <w:r w:rsidR="003E4B65">
        <w:t>raja</w:t>
      </w:r>
      <w:r w:rsidR="00DF1F1C">
        <w:t xml:space="preserve"> </w:t>
      </w:r>
      <w:r w:rsidR="00EC0ADB" w:rsidRPr="00BA2E34">
        <w:t>2020</w:t>
      </w:r>
      <w:r w:rsidR="00975AD7" w:rsidRPr="00BA2E34">
        <w:t xml:space="preserve">. Višegodišnji projekti se uglavnom odnose na projekte sufinancirane bespovratnim sredstvima iz </w:t>
      </w:r>
      <w:r w:rsidR="00372730">
        <w:t>Operativnog programa konkurentnost i kohezija (OPKK)</w:t>
      </w:r>
      <w:r w:rsidR="00975AD7" w:rsidRPr="00BA2E34">
        <w:t xml:space="preserve"> 2014. – 2020. koji imaju rok za realizaciju do k</w:t>
      </w:r>
      <w:r w:rsidR="003E4B65">
        <w:t>raja</w:t>
      </w:r>
      <w:r w:rsidR="00975AD7" w:rsidRPr="00BA2E34">
        <w:t xml:space="preserve"> 2023</w:t>
      </w:r>
      <w:r w:rsidR="00372730">
        <w:t>.</w:t>
      </w:r>
      <w:r w:rsidR="00DA29E1">
        <w:t xml:space="preserve"> (sa završnim plaćanjima </w:t>
      </w:r>
      <w:r w:rsidR="00864025">
        <w:t>u</w:t>
      </w:r>
      <w:r w:rsidR="00DF1F1C">
        <w:t xml:space="preserve"> </w:t>
      </w:r>
      <w:r w:rsidR="00DA29E1">
        <w:t>2024.)</w:t>
      </w:r>
      <w:r w:rsidR="00975AD7" w:rsidRPr="00BA2E34">
        <w:t xml:space="preserve">, a za koje je nacionalna komponenta </w:t>
      </w:r>
      <w:r w:rsidR="003365BD">
        <w:t>planirana za financiranje u Planu I</w:t>
      </w:r>
      <w:r w:rsidR="00975AD7" w:rsidRPr="00BA2E34">
        <w:t>.</w:t>
      </w:r>
      <w:r w:rsidR="00076057" w:rsidRPr="00BA2E34">
        <w:t xml:space="preserve"> </w:t>
      </w:r>
      <w:r w:rsidR="00CD3AE3" w:rsidRPr="00BA2E34">
        <w:t xml:space="preserve">Dodatni rok za izvješćivanje je potreban i zbog preuzetih obveza za izgradnju </w:t>
      </w:r>
      <w:r w:rsidR="003E4B65">
        <w:t>c</w:t>
      </w:r>
      <w:r w:rsidR="00CD3AE3" w:rsidRPr="00BA2E34">
        <w:t xml:space="preserve">entara za gospodarenje otpadom </w:t>
      </w:r>
      <w:r w:rsidR="00CD3AE3" w:rsidRPr="00511B4A">
        <w:t>koji</w:t>
      </w:r>
      <w:r w:rsidR="00DA29E1" w:rsidRPr="00511B4A">
        <w:t xml:space="preserve"> </w:t>
      </w:r>
      <w:r w:rsidR="00CD3AE3" w:rsidRPr="00511B4A">
        <w:t xml:space="preserve">neće biti realizirani </w:t>
      </w:r>
      <w:r w:rsidR="00923726" w:rsidRPr="00511B4A">
        <w:t xml:space="preserve">još </w:t>
      </w:r>
      <w:r w:rsidR="00DA29E1" w:rsidRPr="00511B4A">
        <w:t>narednih nekoliko godina.</w:t>
      </w:r>
    </w:p>
    <w:p w14:paraId="73A01058" w14:textId="77777777" w:rsidR="00923726" w:rsidRPr="00923726" w:rsidRDefault="00923726" w:rsidP="00923726">
      <w:pPr>
        <w:spacing w:before="60" w:after="60"/>
        <w:ind w:firstLine="567"/>
        <w:rPr>
          <w:b/>
          <w:bCs/>
          <w:u w:val="single"/>
        </w:rPr>
      </w:pPr>
    </w:p>
    <w:p w14:paraId="40FFB8E1" w14:textId="77777777" w:rsidR="006F4E0F" w:rsidRPr="006F4E0F" w:rsidRDefault="006F4E0F" w:rsidP="006F4E0F">
      <w:pPr>
        <w:pStyle w:val="Naslov1"/>
        <w:ind w:left="1068"/>
      </w:pPr>
      <w:bookmarkStart w:id="8" w:name="_Toc219281599"/>
      <w:bookmarkStart w:id="9" w:name="_Toc226980221"/>
      <w:r w:rsidRPr="006F4E0F">
        <w:lastRenderedPageBreak/>
        <w:t>Plan korištenja financijskih sredstava dobivenih od prodaje emisijskih jedinica putem dražbi u Republici Hrvatskoj do 2020. godine</w:t>
      </w:r>
      <w:bookmarkEnd w:id="8"/>
      <w:r w:rsidRPr="006F4E0F">
        <w:t xml:space="preserve"> – Plan I</w:t>
      </w:r>
      <w:bookmarkEnd w:id="9"/>
    </w:p>
    <w:p w14:paraId="6A8E2B80" w14:textId="77777777" w:rsidR="00206877" w:rsidRPr="00206877" w:rsidRDefault="00206877" w:rsidP="00465981">
      <w:pPr>
        <w:spacing w:before="60" w:after="60"/>
        <w:ind w:firstLine="567"/>
        <w:rPr>
          <w:b/>
          <w:bCs/>
          <w:sz w:val="28"/>
          <w:szCs w:val="28"/>
        </w:rPr>
      </w:pPr>
    </w:p>
    <w:p w14:paraId="3E5800D9" w14:textId="752137D6" w:rsidR="00BC6C33" w:rsidRPr="006F4E0F" w:rsidRDefault="00FB7B46" w:rsidP="00077A5D">
      <w:pPr>
        <w:pStyle w:val="Naslov2"/>
        <w:numPr>
          <w:ilvl w:val="1"/>
          <w:numId w:val="31"/>
        </w:numPr>
        <w:spacing w:before="60" w:after="60"/>
      </w:pPr>
      <w:bookmarkStart w:id="10" w:name="_Toc226980222"/>
      <w:r w:rsidRPr="00EF723B">
        <w:rPr>
          <w:rFonts w:ascii="Times New Roman" w:hAnsi="Times New Roman" w:cs="Times New Roman"/>
          <w:sz w:val="24"/>
          <w:szCs w:val="24"/>
        </w:rPr>
        <w:t>R</w:t>
      </w:r>
      <w:r w:rsidR="006F4E0F" w:rsidRPr="00EF723B">
        <w:rPr>
          <w:rFonts w:ascii="Times New Roman" w:hAnsi="Times New Roman" w:cs="Times New Roman"/>
          <w:sz w:val="24"/>
          <w:szCs w:val="24"/>
        </w:rPr>
        <w:t xml:space="preserve">ashodi sredstava od dražbi u 2023. i 2024. sukladno </w:t>
      </w:r>
      <w:r w:rsidR="006F4E0F">
        <w:rPr>
          <w:rFonts w:ascii="Times New Roman" w:hAnsi="Times New Roman" w:cs="Times New Roman"/>
          <w:sz w:val="24"/>
          <w:szCs w:val="24"/>
        </w:rPr>
        <w:t>P</w:t>
      </w:r>
      <w:r w:rsidR="006F4E0F" w:rsidRPr="00EF723B">
        <w:rPr>
          <w:rFonts w:ascii="Times New Roman" w:hAnsi="Times New Roman" w:cs="Times New Roman"/>
          <w:sz w:val="24"/>
          <w:szCs w:val="24"/>
        </w:rPr>
        <w:t>lanu</w:t>
      </w:r>
      <w:r w:rsidR="006F4E0F">
        <w:rPr>
          <w:rFonts w:ascii="Times New Roman" w:hAnsi="Times New Roman" w:cs="Times New Roman"/>
          <w:sz w:val="24"/>
          <w:szCs w:val="24"/>
        </w:rPr>
        <w:t xml:space="preserve"> I</w:t>
      </w:r>
      <w:bookmarkEnd w:id="10"/>
    </w:p>
    <w:p w14:paraId="2FF4CB68" w14:textId="44012D92" w:rsidR="00975AD7" w:rsidRPr="00C06F7E" w:rsidRDefault="00975AD7" w:rsidP="003376E7">
      <w:pPr>
        <w:spacing w:before="60" w:after="60"/>
        <w:ind w:firstLine="567"/>
      </w:pPr>
      <w:r w:rsidRPr="00C06F7E">
        <w:t xml:space="preserve">Od preuzetih obveza na dan 31. prosinca 2020. (do tog datuma Fond je preuzimao obvezu budući da je do tada bio i rok važenja dokumenta Izmjene </w:t>
      </w:r>
      <w:r w:rsidR="00CF3069">
        <w:t xml:space="preserve">i dopune </w:t>
      </w:r>
      <w:r w:rsidRPr="00C06F7E">
        <w:t>Plana</w:t>
      </w:r>
      <w:r w:rsidR="00E8012D">
        <w:t xml:space="preserve"> </w:t>
      </w:r>
      <w:r w:rsidR="00CF3069">
        <w:t>I</w:t>
      </w:r>
      <w:r w:rsidR="00924E3E">
        <w:t>.</w:t>
      </w:r>
      <w:r w:rsidRPr="00C06F7E">
        <w:t xml:space="preserve">) u izvještajnom razdoblju za </w:t>
      </w:r>
      <w:r w:rsidR="00EC0ADB">
        <w:t>202</w:t>
      </w:r>
      <w:r w:rsidR="00C522FE">
        <w:t>3</w:t>
      </w:r>
      <w:r w:rsidR="00EC0ADB">
        <w:t xml:space="preserve">. i </w:t>
      </w:r>
      <w:r w:rsidRPr="00C06F7E">
        <w:t>202</w:t>
      </w:r>
      <w:r w:rsidR="00C522FE">
        <w:t>4</w:t>
      </w:r>
      <w:r w:rsidRPr="00C06F7E">
        <w:t>. godinu realizirana su (isplaćena) sredstva u iznosu od</w:t>
      </w:r>
      <w:r w:rsidR="00BF7767">
        <w:t xml:space="preserve"> </w:t>
      </w:r>
      <w:r w:rsidR="00BF7767" w:rsidRPr="00BF7767">
        <w:rPr>
          <w:b/>
          <w:bCs/>
        </w:rPr>
        <w:t>28.249.734,26</w:t>
      </w:r>
      <w:r w:rsidRPr="00C06F7E">
        <w:t xml:space="preserve"> </w:t>
      </w:r>
      <w:r w:rsidR="00C522FE">
        <w:rPr>
          <w:b/>
          <w:bCs/>
        </w:rPr>
        <w:t>EUR</w:t>
      </w:r>
      <w:r w:rsidRPr="00C06F7E">
        <w:t xml:space="preserve"> i to za:</w:t>
      </w:r>
    </w:p>
    <w:p w14:paraId="5D2C209B" w14:textId="7C3E05CA" w:rsidR="00975AD7" w:rsidRPr="00C06F7E" w:rsidRDefault="00975AD7" w:rsidP="003A1CB7">
      <w:pPr>
        <w:pStyle w:val="Odlomakpopisa"/>
        <w:numPr>
          <w:ilvl w:val="0"/>
          <w:numId w:val="5"/>
        </w:numPr>
        <w:spacing w:before="60" w:after="60"/>
        <w:ind w:left="723"/>
      </w:pPr>
      <w:r w:rsidRPr="00C06F7E">
        <w:t>Programe i projekte zaštite okoliša</w:t>
      </w:r>
      <w:r w:rsidR="00924E3E">
        <w:t>:</w:t>
      </w:r>
      <w:r w:rsidRPr="00C06F7E">
        <w:t xml:space="preserve"> </w:t>
      </w:r>
      <w:r w:rsidR="00BE5FA8" w:rsidRPr="00BE5FA8">
        <w:rPr>
          <w:b/>
          <w:bCs/>
        </w:rPr>
        <w:t>24.891.853,84</w:t>
      </w:r>
      <w:r w:rsidRPr="00C06F7E">
        <w:rPr>
          <w:b/>
          <w:bCs/>
        </w:rPr>
        <w:t xml:space="preserve"> </w:t>
      </w:r>
      <w:r w:rsidR="00D914A9">
        <w:rPr>
          <w:b/>
          <w:bCs/>
        </w:rPr>
        <w:t>EUR</w:t>
      </w:r>
      <w:r w:rsidRPr="00C06F7E">
        <w:t xml:space="preserve"> i </w:t>
      </w:r>
    </w:p>
    <w:p w14:paraId="00EBD39F" w14:textId="727108B8" w:rsidR="00975AD7" w:rsidRDefault="00975AD7" w:rsidP="003A1CB7">
      <w:pPr>
        <w:pStyle w:val="Odlomakpopisa"/>
        <w:numPr>
          <w:ilvl w:val="0"/>
          <w:numId w:val="5"/>
        </w:numPr>
        <w:spacing w:before="60" w:after="60"/>
        <w:ind w:left="723"/>
      </w:pPr>
      <w:r w:rsidRPr="00C06F7E">
        <w:t>Programe i projekte energetske učinkovitosti</w:t>
      </w:r>
      <w:r w:rsidR="00924E3E">
        <w:t>:</w:t>
      </w:r>
      <w:r w:rsidRPr="00C06F7E">
        <w:t xml:space="preserve"> </w:t>
      </w:r>
      <w:r w:rsidR="00BF7767" w:rsidRPr="00BF7767">
        <w:rPr>
          <w:b/>
          <w:bCs/>
        </w:rPr>
        <w:t>3.357.880,42</w:t>
      </w:r>
      <w:r w:rsidR="00BF7767" w:rsidRPr="00BF7767">
        <w:t xml:space="preserve"> </w:t>
      </w:r>
      <w:r w:rsidR="00D914A9">
        <w:rPr>
          <w:b/>
          <w:bCs/>
        </w:rPr>
        <w:t>EUR</w:t>
      </w:r>
      <w:r w:rsidRPr="00C06F7E">
        <w:t>.</w:t>
      </w:r>
    </w:p>
    <w:p w14:paraId="01D2F7B8" w14:textId="77777777" w:rsidR="00206877" w:rsidRPr="00C06F7E" w:rsidRDefault="00206877" w:rsidP="00206877">
      <w:pPr>
        <w:pStyle w:val="Odlomakpopisa"/>
        <w:spacing w:before="60" w:after="60"/>
        <w:ind w:left="723"/>
      </w:pPr>
    </w:p>
    <w:p w14:paraId="183E4F18" w14:textId="087DF0C4" w:rsidR="002735AF" w:rsidRPr="006F4E0F" w:rsidRDefault="00975AD7" w:rsidP="006F4E0F">
      <w:pPr>
        <w:spacing w:before="60" w:after="60"/>
        <w:ind w:firstLine="567"/>
        <w:rPr>
          <w:b/>
        </w:rPr>
      </w:pPr>
      <w:r w:rsidRPr="002735AF">
        <w:t xml:space="preserve">U </w:t>
      </w:r>
      <w:r w:rsidRPr="002735AF">
        <w:rPr>
          <w:b/>
        </w:rPr>
        <w:t xml:space="preserve">Tablici </w:t>
      </w:r>
      <w:r w:rsidR="009A7F23">
        <w:rPr>
          <w:b/>
        </w:rPr>
        <w:t>1</w:t>
      </w:r>
      <w:r w:rsidRPr="002735AF">
        <w:rPr>
          <w:b/>
        </w:rPr>
        <w:t>.</w:t>
      </w:r>
      <w:r w:rsidRPr="002735AF">
        <w:t xml:space="preserve"> prikazan</w:t>
      </w:r>
      <w:r w:rsidR="009A7F23">
        <w:t xml:space="preserve">o je </w:t>
      </w:r>
      <w:r w:rsidRPr="002735AF">
        <w:t xml:space="preserve">izvršenje po prioritetnim mjerama </w:t>
      </w:r>
      <w:r w:rsidR="009A7F23">
        <w:t xml:space="preserve">iz Plana I </w:t>
      </w:r>
      <w:r w:rsidRPr="002735AF">
        <w:t xml:space="preserve">u </w:t>
      </w:r>
      <w:r w:rsidR="00E8012D" w:rsidRPr="002735AF">
        <w:t>202</w:t>
      </w:r>
      <w:r w:rsidR="00D914A9">
        <w:t>3</w:t>
      </w:r>
      <w:r w:rsidR="00E8012D" w:rsidRPr="002735AF">
        <w:t xml:space="preserve">. i </w:t>
      </w:r>
      <w:r w:rsidRPr="002735AF">
        <w:t>202</w:t>
      </w:r>
      <w:r w:rsidR="00D914A9">
        <w:t>4</w:t>
      </w:r>
      <w:r w:rsidRPr="002735AF">
        <w:t xml:space="preserve">. godini </w:t>
      </w:r>
    </w:p>
    <w:p w14:paraId="70577D50" w14:textId="77777777" w:rsidR="00477A35" w:rsidRDefault="00477A35" w:rsidP="008D4D94">
      <w:pPr>
        <w:spacing w:after="0" w:line="240" w:lineRule="auto"/>
        <w:rPr>
          <w:noProof/>
        </w:rPr>
      </w:pPr>
    </w:p>
    <w:p w14:paraId="743ADC1C" w14:textId="6F7464A1" w:rsidR="00657BFF" w:rsidRPr="00C93820" w:rsidRDefault="009A1F98" w:rsidP="008D4D94">
      <w:pPr>
        <w:spacing w:after="0" w:line="240" w:lineRule="auto"/>
        <w:rPr>
          <w:noProof/>
        </w:rPr>
      </w:pPr>
      <w:r w:rsidRPr="00C93820">
        <w:rPr>
          <w:b/>
        </w:rPr>
        <w:t xml:space="preserve">Tablica </w:t>
      </w:r>
      <w:r w:rsidR="009A7F23">
        <w:rPr>
          <w:b/>
        </w:rPr>
        <w:t>1</w:t>
      </w:r>
      <w:r w:rsidR="003E2D40" w:rsidRPr="00C93820">
        <w:rPr>
          <w:b/>
        </w:rPr>
        <w:t>.</w:t>
      </w:r>
      <w:r w:rsidR="003E2D40" w:rsidRPr="00C93820">
        <w:t xml:space="preserve"> </w:t>
      </w:r>
      <w:r w:rsidR="00551DB0" w:rsidRPr="00C93820">
        <w:tab/>
      </w:r>
      <w:r w:rsidR="00657BFF" w:rsidRPr="00C93820">
        <w:t>Iz</w:t>
      </w:r>
      <w:r w:rsidR="00AF51FE" w:rsidRPr="00C93820">
        <w:t>vršenje prioritetnih mjera u 202</w:t>
      </w:r>
      <w:r w:rsidR="00207A7A">
        <w:t>3</w:t>
      </w:r>
      <w:r w:rsidRPr="00C93820">
        <w:t>.</w:t>
      </w:r>
      <w:r w:rsidR="00022437" w:rsidRPr="00C93820">
        <w:t xml:space="preserve"> i 202</w:t>
      </w:r>
      <w:r w:rsidR="00207A7A">
        <w:t>4</w:t>
      </w:r>
      <w:r w:rsidR="00022437" w:rsidRPr="00C93820">
        <w:t>.</w:t>
      </w:r>
      <w:r w:rsidRPr="00C93820">
        <w:t xml:space="preserve"> godini </w:t>
      </w:r>
    </w:p>
    <w:tbl>
      <w:tblPr>
        <w:tblW w:w="9356" w:type="dxa"/>
        <w:jc w:val="center"/>
        <w:tblLayout w:type="fixed"/>
        <w:tblLook w:val="04A0" w:firstRow="1" w:lastRow="0" w:firstColumn="1" w:lastColumn="0" w:noHBand="0" w:noVBand="1"/>
      </w:tblPr>
      <w:tblGrid>
        <w:gridCol w:w="1097"/>
        <w:gridCol w:w="2731"/>
        <w:gridCol w:w="1842"/>
        <w:gridCol w:w="1843"/>
        <w:gridCol w:w="1843"/>
      </w:tblGrid>
      <w:tr w:rsidR="00C93820" w:rsidRPr="00C93820" w14:paraId="61B70F43" w14:textId="086F9643" w:rsidTr="000E3B9A">
        <w:trPr>
          <w:trHeight w:val="600"/>
          <w:jc w:val="center"/>
        </w:trPr>
        <w:tc>
          <w:tcPr>
            <w:tcW w:w="109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3258B56" w14:textId="77777777" w:rsidR="00C93820" w:rsidRPr="00C93820" w:rsidRDefault="00C93820" w:rsidP="00022437">
            <w:pPr>
              <w:spacing w:after="0" w:line="240" w:lineRule="auto"/>
              <w:jc w:val="center"/>
              <w:rPr>
                <w:rFonts w:eastAsia="Times New Roman"/>
                <w:b/>
                <w:bCs/>
                <w:lang w:eastAsia="hr-HR"/>
              </w:rPr>
            </w:pPr>
            <w:r w:rsidRPr="00C93820">
              <w:rPr>
                <w:rFonts w:eastAsia="Times New Roman"/>
                <w:b/>
                <w:bCs/>
                <w:lang w:eastAsia="hr-HR"/>
              </w:rPr>
              <w:t>Oznaka</w:t>
            </w:r>
          </w:p>
        </w:tc>
        <w:tc>
          <w:tcPr>
            <w:tcW w:w="2731" w:type="dxa"/>
            <w:tcBorders>
              <w:top w:val="single" w:sz="4" w:space="0" w:color="auto"/>
              <w:left w:val="nil"/>
              <w:bottom w:val="single" w:sz="4" w:space="0" w:color="auto"/>
              <w:right w:val="single" w:sz="4" w:space="0" w:color="auto"/>
            </w:tcBorders>
            <w:shd w:val="clear" w:color="000000" w:fill="F2F2F2"/>
            <w:noWrap/>
            <w:vAlign w:val="center"/>
            <w:hideMark/>
          </w:tcPr>
          <w:p w14:paraId="025F4A8C" w14:textId="77777777" w:rsidR="00C93820" w:rsidRPr="00C93820" w:rsidRDefault="00C93820" w:rsidP="00022437">
            <w:pPr>
              <w:spacing w:after="0" w:line="240" w:lineRule="auto"/>
              <w:jc w:val="center"/>
              <w:rPr>
                <w:rFonts w:eastAsia="Times New Roman"/>
                <w:b/>
                <w:bCs/>
                <w:lang w:eastAsia="hr-HR"/>
              </w:rPr>
            </w:pPr>
            <w:r w:rsidRPr="00C93820">
              <w:rPr>
                <w:rFonts w:eastAsia="Times New Roman"/>
                <w:b/>
                <w:bCs/>
                <w:lang w:eastAsia="hr-HR"/>
              </w:rPr>
              <w:t>Prioritetna mjera</w:t>
            </w:r>
          </w:p>
        </w:tc>
        <w:tc>
          <w:tcPr>
            <w:tcW w:w="1842" w:type="dxa"/>
            <w:tcBorders>
              <w:top w:val="single" w:sz="4" w:space="0" w:color="auto"/>
              <w:left w:val="nil"/>
              <w:bottom w:val="single" w:sz="4" w:space="0" w:color="auto"/>
              <w:right w:val="single" w:sz="4" w:space="0" w:color="auto"/>
            </w:tcBorders>
            <w:shd w:val="clear" w:color="000000" w:fill="F2F2F2"/>
            <w:vAlign w:val="center"/>
          </w:tcPr>
          <w:p w14:paraId="5F2DAFC9" w14:textId="073589F3" w:rsidR="00C93820" w:rsidRPr="00C93820" w:rsidRDefault="00C93820" w:rsidP="00022437">
            <w:pPr>
              <w:spacing w:after="0" w:line="240" w:lineRule="auto"/>
              <w:jc w:val="center"/>
              <w:rPr>
                <w:rFonts w:eastAsia="Times New Roman"/>
                <w:b/>
                <w:bCs/>
                <w:lang w:eastAsia="hr-HR"/>
              </w:rPr>
            </w:pPr>
            <w:r w:rsidRPr="00C93820">
              <w:rPr>
                <w:rFonts w:eastAsia="Times New Roman"/>
                <w:b/>
                <w:bCs/>
                <w:lang w:eastAsia="hr-HR"/>
              </w:rPr>
              <w:t>Realizacija 202</w:t>
            </w:r>
            <w:r w:rsidR="00207A7A">
              <w:rPr>
                <w:rFonts w:eastAsia="Times New Roman"/>
                <w:b/>
                <w:bCs/>
                <w:lang w:eastAsia="hr-HR"/>
              </w:rPr>
              <w:t>3</w:t>
            </w:r>
            <w:r w:rsidRPr="00C93820">
              <w:rPr>
                <w:rFonts w:eastAsia="Times New Roman"/>
                <w:b/>
                <w:bCs/>
                <w:lang w:eastAsia="hr-HR"/>
              </w:rPr>
              <w:t>.</w:t>
            </w:r>
          </w:p>
          <w:p w14:paraId="1CBB8A58" w14:textId="2064F6E8" w:rsidR="00C93820" w:rsidRPr="00C93820" w:rsidRDefault="00C93820" w:rsidP="00022437">
            <w:pPr>
              <w:spacing w:after="0" w:line="240" w:lineRule="auto"/>
              <w:jc w:val="center"/>
              <w:rPr>
                <w:rFonts w:eastAsia="Times New Roman"/>
                <w:b/>
                <w:bCs/>
                <w:lang w:eastAsia="hr-HR"/>
              </w:rPr>
            </w:pPr>
            <w:r w:rsidRPr="00C93820">
              <w:rPr>
                <w:rFonts w:eastAsia="Times New Roman"/>
                <w:b/>
                <w:bCs/>
                <w:lang w:eastAsia="hr-HR"/>
              </w:rPr>
              <w:t>[</w:t>
            </w:r>
            <w:r w:rsidR="00207A7A">
              <w:rPr>
                <w:rFonts w:eastAsia="Times New Roman"/>
                <w:b/>
                <w:bCs/>
                <w:lang w:eastAsia="hr-HR"/>
              </w:rPr>
              <w:t>EUR</w:t>
            </w:r>
            <w:r w:rsidRPr="00C93820">
              <w:rPr>
                <w:rFonts w:eastAsia="Times New Roman"/>
                <w:b/>
                <w:bCs/>
                <w:lang w:eastAsia="hr-HR"/>
              </w:rPr>
              <w:t>]</w:t>
            </w:r>
          </w:p>
        </w:tc>
        <w:tc>
          <w:tcPr>
            <w:tcW w:w="1843" w:type="dxa"/>
            <w:tcBorders>
              <w:top w:val="single" w:sz="4" w:space="0" w:color="auto"/>
              <w:left w:val="nil"/>
              <w:bottom w:val="single" w:sz="4" w:space="0" w:color="auto"/>
              <w:right w:val="single" w:sz="4" w:space="0" w:color="auto"/>
            </w:tcBorders>
            <w:shd w:val="clear" w:color="000000" w:fill="F2F2F2"/>
            <w:vAlign w:val="center"/>
          </w:tcPr>
          <w:p w14:paraId="359C71D4" w14:textId="0A963DE9" w:rsidR="00C93820" w:rsidRPr="00C93820" w:rsidRDefault="00C93820" w:rsidP="00C93820">
            <w:pPr>
              <w:spacing w:after="0" w:line="240" w:lineRule="auto"/>
              <w:jc w:val="center"/>
              <w:rPr>
                <w:rFonts w:eastAsia="Times New Roman"/>
                <w:b/>
                <w:bCs/>
                <w:lang w:eastAsia="hr-HR"/>
              </w:rPr>
            </w:pPr>
            <w:r w:rsidRPr="00C93820">
              <w:rPr>
                <w:rFonts w:eastAsia="Times New Roman"/>
                <w:b/>
                <w:bCs/>
                <w:lang w:eastAsia="hr-HR"/>
              </w:rPr>
              <w:t>Realizacija 202</w:t>
            </w:r>
            <w:r w:rsidR="00207A7A">
              <w:rPr>
                <w:rFonts w:eastAsia="Times New Roman"/>
                <w:b/>
                <w:bCs/>
                <w:lang w:eastAsia="hr-HR"/>
              </w:rPr>
              <w:t>4</w:t>
            </w:r>
            <w:r w:rsidRPr="00C93820">
              <w:rPr>
                <w:rFonts w:eastAsia="Times New Roman"/>
                <w:b/>
                <w:bCs/>
                <w:lang w:eastAsia="hr-HR"/>
              </w:rPr>
              <w:t>.</w:t>
            </w:r>
          </w:p>
          <w:p w14:paraId="732679BE" w14:textId="2E466804" w:rsidR="00C93820" w:rsidRPr="00C93820" w:rsidRDefault="00C93820" w:rsidP="00C93820">
            <w:pPr>
              <w:spacing w:after="0" w:line="240" w:lineRule="auto"/>
              <w:jc w:val="center"/>
              <w:rPr>
                <w:rFonts w:eastAsia="Times New Roman"/>
                <w:b/>
                <w:bCs/>
                <w:lang w:eastAsia="hr-HR"/>
              </w:rPr>
            </w:pPr>
            <w:r w:rsidRPr="00C93820">
              <w:rPr>
                <w:rFonts w:eastAsia="Times New Roman"/>
                <w:b/>
                <w:bCs/>
                <w:lang w:eastAsia="hr-HR"/>
              </w:rPr>
              <w:t>[</w:t>
            </w:r>
            <w:r w:rsidR="00207A7A">
              <w:rPr>
                <w:rFonts w:eastAsia="Times New Roman"/>
                <w:b/>
                <w:bCs/>
                <w:lang w:eastAsia="hr-HR"/>
              </w:rPr>
              <w:t>EUR</w:t>
            </w:r>
            <w:r w:rsidRPr="00C93820">
              <w:rPr>
                <w:rFonts w:eastAsia="Times New Roman"/>
                <w:b/>
                <w:bCs/>
                <w:lang w:eastAsia="hr-HR"/>
              </w:rPr>
              <w:t>]</w:t>
            </w:r>
          </w:p>
        </w:tc>
        <w:tc>
          <w:tcPr>
            <w:tcW w:w="1843" w:type="dxa"/>
            <w:tcBorders>
              <w:top w:val="single" w:sz="4" w:space="0" w:color="auto"/>
              <w:left w:val="nil"/>
              <w:bottom w:val="single" w:sz="4" w:space="0" w:color="auto"/>
              <w:right w:val="single" w:sz="4" w:space="0" w:color="auto"/>
            </w:tcBorders>
            <w:shd w:val="clear" w:color="000000" w:fill="F2F2F2"/>
            <w:vAlign w:val="center"/>
          </w:tcPr>
          <w:p w14:paraId="29835306" w14:textId="77777777" w:rsidR="00C93820" w:rsidRPr="00C93820" w:rsidRDefault="00C93820" w:rsidP="00C93820">
            <w:pPr>
              <w:spacing w:after="0" w:line="240" w:lineRule="auto"/>
              <w:jc w:val="center"/>
              <w:rPr>
                <w:rFonts w:eastAsia="Times New Roman"/>
                <w:b/>
                <w:bCs/>
                <w:lang w:eastAsia="hr-HR"/>
              </w:rPr>
            </w:pPr>
            <w:r w:rsidRPr="00C93820">
              <w:rPr>
                <w:rFonts w:eastAsia="Times New Roman"/>
                <w:b/>
                <w:bCs/>
                <w:lang w:eastAsia="hr-HR"/>
              </w:rPr>
              <w:t>Ukupno</w:t>
            </w:r>
          </w:p>
          <w:p w14:paraId="3BE44C86" w14:textId="3956C828" w:rsidR="00C93820" w:rsidRPr="00C93820" w:rsidRDefault="00C93820" w:rsidP="00C93820">
            <w:pPr>
              <w:spacing w:after="0" w:line="240" w:lineRule="auto"/>
              <w:jc w:val="center"/>
              <w:rPr>
                <w:rFonts w:eastAsia="Times New Roman"/>
                <w:b/>
                <w:bCs/>
                <w:lang w:eastAsia="hr-HR"/>
              </w:rPr>
            </w:pPr>
            <w:r w:rsidRPr="00C93820">
              <w:rPr>
                <w:rFonts w:eastAsia="Times New Roman"/>
                <w:b/>
                <w:bCs/>
                <w:lang w:eastAsia="hr-HR"/>
              </w:rPr>
              <w:t>[</w:t>
            </w:r>
            <w:r w:rsidR="00207A7A">
              <w:rPr>
                <w:rFonts w:eastAsia="Times New Roman"/>
                <w:b/>
                <w:bCs/>
                <w:lang w:eastAsia="hr-HR"/>
              </w:rPr>
              <w:t>EUR</w:t>
            </w:r>
            <w:r w:rsidRPr="00C93820">
              <w:rPr>
                <w:rFonts w:eastAsia="Times New Roman"/>
                <w:b/>
                <w:bCs/>
                <w:lang w:eastAsia="hr-HR"/>
              </w:rPr>
              <w:t>]</w:t>
            </w:r>
          </w:p>
        </w:tc>
      </w:tr>
      <w:tr w:rsidR="00C93820" w:rsidRPr="00C93820" w14:paraId="7A03025A" w14:textId="405895C2" w:rsidTr="000E3B9A">
        <w:trPr>
          <w:trHeight w:val="300"/>
          <w:jc w:val="center"/>
        </w:trPr>
        <w:tc>
          <w:tcPr>
            <w:tcW w:w="1097" w:type="dxa"/>
            <w:tcBorders>
              <w:top w:val="nil"/>
              <w:left w:val="single" w:sz="4" w:space="0" w:color="auto"/>
              <w:bottom w:val="single" w:sz="4" w:space="0" w:color="auto"/>
              <w:right w:val="single" w:sz="4" w:space="0" w:color="auto"/>
            </w:tcBorders>
            <w:noWrap/>
            <w:vAlign w:val="center"/>
            <w:hideMark/>
          </w:tcPr>
          <w:p w14:paraId="46D15E26" w14:textId="77777777" w:rsidR="00C93820" w:rsidRPr="00C93820" w:rsidRDefault="00C93820" w:rsidP="00022437">
            <w:pPr>
              <w:spacing w:after="0" w:line="240" w:lineRule="auto"/>
              <w:jc w:val="center"/>
              <w:rPr>
                <w:rFonts w:eastAsia="Times New Roman"/>
                <w:b/>
                <w:bCs/>
                <w:lang w:eastAsia="hr-HR"/>
              </w:rPr>
            </w:pPr>
            <w:r w:rsidRPr="00C93820">
              <w:rPr>
                <w:rFonts w:eastAsia="Times New Roman"/>
                <w:b/>
                <w:bCs/>
                <w:lang w:eastAsia="hr-HR"/>
              </w:rPr>
              <w:t>OI</w:t>
            </w:r>
          </w:p>
        </w:tc>
        <w:tc>
          <w:tcPr>
            <w:tcW w:w="2731" w:type="dxa"/>
            <w:tcBorders>
              <w:top w:val="nil"/>
              <w:left w:val="nil"/>
              <w:bottom w:val="single" w:sz="4" w:space="0" w:color="auto"/>
              <w:right w:val="single" w:sz="4" w:space="0" w:color="auto"/>
            </w:tcBorders>
            <w:noWrap/>
            <w:vAlign w:val="center"/>
            <w:hideMark/>
          </w:tcPr>
          <w:p w14:paraId="6915A55A" w14:textId="77777777" w:rsidR="00C93820" w:rsidRPr="00C93820" w:rsidRDefault="00C93820" w:rsidP="00022437">
            <w:pPr>
              <w:spacing w:after="0" w:line="240" w:lineRule="auto"/>
              <w:rPr>
                <w:rFonts w:eastAsia="Times New Roman"/>
                <w:lang w:eastAsia="hr-HR"/>
              </w:rPr>
            </w:pPr>
            <w:r w:rsidRPr="00C93820">
              <w:rPr>
                <w:rFonts w:eastAsia="Times New Roman"/>
                <w:lang w:eastAsia="hr-HR"/>
              </w:rPr>
              <w:t>Obnovljivi izvori energije</w:t>
            </w:r>
          </w:p>
        </w:tc>
        <w:tc>
          <w:tcPr>
            <w:tcW w:w="1842" w:type="dxa"/>
            <w:tcBorders>
              <w:top w:val="nil"/>
              <w:left w:val="nil"/>
              <w:bottom w:val="single" w:sz="4" w:space="0" w:color="auto"/>
              <w:right w:val="single" w:sz="4" w:space="0" w:color="auto"/>
            </w:tcBorders>
            <w:noWrap/>
            <w:vAlign w:val="center"/>
          </w:tcPr>
          <w:p w14:paraId="7E756DD2" w14:textId="6CC2AE85" w:rsidR="00C93820" w:rsidRPr="00C93820" w:rsidRDefault="00BF7767" w:rsidP="00C93820">
            <w:pPr>
              <w:spacing w:after="0" w:line="240" w:lineRule="auto"/>
              <w:jc w:val="center"/>
              <w:rPr>
                <w:rFonts w:eastAsia="Times New Roman"/>
                <w:lang w:eastAsia="hr-HR"/>
              </w:rPr>
            </w:pPr>
            <w:r w:rsidRPr="00BF7767">
              <w:rPr>
                <w:rFonts w:eastAsia="Times New Roman"/>
                <w:lang w:eastAsia="hr-HR"/>
              </w:rPr>
              <w:t>175.480,86</w:t>
            </w:r>
          </w:p>
        </w:tc>
        <w:tc>
          <w:tcPr>
            <w:tcW w:w="1843" w:type="dxa"/>
            <w:tcBorders>
              <w:top w:val="nil"/>
              <w:left w:val="nil"/>
              <w:bottom w:val="single" w:sz="4" w:space="0" w:color="auto"/>
              <w:right w:val="single" w:sz="4" w:space="0" w:color="auto"/>
            </w:tcBorders>
            <w:vAlign w:val="center"/>
          </w:tcPr>
          <w:p w14:paraId="36873156" w14:textId="03AE1AEF" w:rsidR="00C93820" w:rsidRPr="00C93820" w:rsidRDefault="00BF7767" w:rsidP="00C93820">
            <w:pPr>
              <w:spacing w:after="0" w:line="240" w:lineRule="auto"/>
              <w:jc w:val="center"/>
              <w:rPr>
                <w:rFonts w:eastAsia="Times New Roman"/>
                <w:lang w:eastAsia="hr-HR"/>
              </w:rPr>
            </w:pPr>
            <w:r>
              <w:rPr>
                <w:rFonts w:eastAsia="Times New Roman"/>
                <w:lang w:eastAsia="hr-HR"/>
              </w:rPr>
              <w:t>-</w:t>
            </w:r>
          </w:p>
        </w:tc>
        <w:tc>
          <w:tcPr>
            <w:tcW w:w="1843" w:type="dxa"/>
            <w:tcBorders>
              <w:top w:val="nil"/>
              <w:left w:val="nil"/>
              <w:bottom w:val="single" w:sz="4" w:space="0" w:color="auto"/>
              <w:right w:val="single" w:sz="4" w:space="0" w:color="auto"/>
            </w:tcBorders>
            <w:vAlign w:val="center"/>
          </w:tcPr>
          <w:p w14:paraId="21760E97" w14:textId="348E8297" w:rsidR="00C93820" w:rsidRPr="00C93820" w:rsidRDefault="00BF7767" w:rsidP="00664F6B">
            <w:pPr>
              <w:spacing w:after="0" w:line="240" w:lineRule="auto"/>
              <w:jc w:val="center"/>
              <w:rPr>
                <w:rFonts w:eastAsia="Times New Roman"/>
                <w:lang w:eastAsia="hr-HR"/>
              </w:rPr>
            </w:pPr>
            <w:r w:rsidRPr="00BF7767">
              <w:rPr>
                <w:rFonts w:eastAsia="Times New Roman"/>
                <w:lang w:eastAsia="hr-HR"/>
              </w:rPr>
              <w:t>175.480,86</w:t>
            </w:r>
          </w:p>
        </w:tc>
      </w:tr>
      <w:tr w:rsidR="00C93820" w:rsidRPr="00C93820" w14:paraId="6E48121E" w14:textId="491A8BE6" w:rsidTr="000E3B9A">
        <w:trPr>
          <w:trHeight w:val="300"/>
          <w:jc w:val="center"/>
        </w:trPr>
        <w:tc>
          <w:tcPr>
            <w:tcW w:w="1097" w:type="dxa"/>
            <w:tcBorders>
              <w:top w:val="nil"/>
              <w:left w:val="single" w:sz="4" w:space="0" w:color="auto"/>
              <w:bottom w:val="single" w:sz="4" w:space="0" w:color="auto"/>
              <w:right w:val="single" w:sz="4" w:space="0" w:color="auto"/>
            </w:tcBorders>
            <w:noWrap/>
            <w:vAlign w:val="center"/>
            <w:hideMark/>
          </w:tcPr>
          <w:p w14:paraId="607E3AA4" w14:textId="77777777" w:rsidR="00C93820" w:rsidRPr="00C93820" w:rsidRDefault="00C93820" w:rsidP="00022437">
            <w:pPr>
              <w:spacing w:after="0" w:line="240" w:lineRule="auto"/>
              <w:jc w:val="center"/>
              <w:rPr>
                <w:rFonts w:eastAsia="Times New Roman"/>
                <w:b/>
                <w:bCs/>
                <w:lang w:eastAsia="hr-HR"/>
              </w:rPr>
            </w:pPr>
            <w:r w:rsidRPr="00C93820">
              <w:rPr>
                <w:rFonts w:eastAsia="Times New Roman"/>
                <w:b/>
                <w:bCs/>
                <w:lang w:eastAsia="hr-HR"/>
              </w:rPr>
              <w:t>ENU</w:t>
            </w:r>
          </w:p>
        </w:tc>
        <w:tc>
          <w:tcPr>
            <w:tcW w:w="2731" w:type="dxa"/>
            <w:tcBorders>
              <w:top w:val="nil"/>
              <w:left w:val="nil"/>
              <w:bottom w:val="single" w:sz="4" w:space="0" w:color="auto"/>
              <w:right w:val="single" w:sz="4" w:space="0" w:color="auto"/>
            </w:tcBorders>
            <w:noWrap/>
            <w:vAlign w:val="center"/>
            <w:hideMark/>
          </w:tcPr>
          <w:p w14:paraId="659CA0D5" w14:textId="77777777" w:rsidR="00C93820" w:rsidRPr="00C93820" w:rsidRDefault="00C93820" w:rsidP="00022437">
            <w:pPr>
              <w:spacing w:after="0" w:line="240" w:lineRule="auto"/>
              <w:rPr>
                <w:rFonts w:eastAsia="Times New Roman"/>
                <w:lang w:eastAsia="hr-HR"/>
              </w:rPr>
            </w:pPr>
            <w:r w:rsidRPr="00C93820">
              <w:rPr>
                <w:rFonts w:eastAsia="Times New Roman"/>
                <w:lang w:eastAsia="hr-HR"/>
              </w:rPr>
              <w:t>Energetska učinkovitost (bez sektora prometa)</w:t>
            </w:r>
          </w:p>
        </w:tc>
        <w:tc>
          <w:tcPr>
            <w:tcW w:w="1842" w:type="dxa"/>
            <w:tcBorders>
              <w:top w:val="nil"/>
              <w:left w:val="nil"/>
              <w:bottom w:val="single" w:sz="4" w:space="0" w:color="auto"/>
              <w:right w:val="single" w:sz="4" w:space="0" w:color="auto"/>
            </w:tcBorders>
            <w:noWrap/>
            <w:vAlign w:val="center"/>
          </w:tcPr>
          <w:p w14:paraId="44D303DD" w14:textId="6123D286" w:rsidR="00C93820" w:rsidRPr="00C93820" w:rsidRDefault="00BF7767" w:rsidP="00C93820">
            <w:pPr>
              <w:spacing w:after="0" w:line="240" w:lineRule="auto"/>
              <w:jc w:val="center"/>
              <w:rPr>
                <w:rFonts w:eastAsia="Times New Roman"/>
                <w:lang w:eastAsia="hr-HR"/>
              </w:rPr>
            </w:pPr>
            <w:r w:rsidRPr="00BF7767">
              <w:rPr>
                <w:rFonts w:eastAsia="Times New Roman"/>
                <w:lang w:eastAsia="hr-HR"/>
              </w:rPr>
              <w:t>2.711.324,74</w:t>
            </w:r>
          </w:p>
        </w:tc>
        <w:tc>
          <w:tcPr>
            <w:tcW w:w="1843" w:type="dxa"/>
            <w:tcBorders>
              <w:top w:val="nil"/>
              <w:left w:val="nil"/>
              <w:bottom w:val="single" w:sz="4" w:space="0" w:color="auto"/>
              <w:right w:val="single" w:sz="4" w:space="0" w:color="auto"/>
            </w:tcBorders>
            <w:vAlign w:val="center"/>
          </w:tcPr>
          <w:p w14:paraId="71CD5030" w14:textId="520C23B4" w:rsidR="00C93820" w:rsidRPr="00C93820" w:rsidRDefault="00BF7767" w:rsidP="00C93820">
            <w:pPr>
              <w:spacing w:after="0" w:line="240" w:lineRule="auto"/>
              <w:jc w:val="center"/>
              <w:rPr>
                <w:rFonts w:eastAsia="Times New Roman"/>
                <w:lang w:eastAsia="hr-HR"/>
              </w:rPr>
            </w:pPr>
            <w:r w:rsidRPr="00BF7767">
              <w:rPr>
                <w:rFonts w:eastAsia="Times New Roman"/>
                <w:lang w:eastAsia="hr-HR"/>
              </w:rPr>
              <w:t>224.421,42</w:t>
            </w:r>
          </w:p>
        </w:tc>
        <w:tc>
          <w:tcPr>
            <w:tcW w:w="1843" w:type="dxa"/>
            <w:tcBorders>
              <w:top w:val="nil"/>
              <w:left w:val="nil"/>
              <w:bottom w:val="single" w:sz="4" w:space="0" w:color="auto"/>
              <w:right w:val="single" w:sz="4" w:space="0" w:color="auto"/>
            </w:tcBorders>
            <w:vAlign w:val="center"/>
          </w:tcPr>
          <w:p w14:paraId="1A75D69E" w14:textId="616B6E17" w:rsidR="00C93820" w:rsidRPr="00C93820" w:rsidRDefault="00BF7767" w:rsidP="00664F6B">
            <w:pPr>
              <w:spacing w:after="0" w:line="240" w:lineRule="auto"/>
              <w:jc w:val="center"/>
              <w:rPr>
                <w:rFonts w:eastAsia="Times New Roman"/>
                <w:lang w:eastAsia="hr-HR"/>
              </w:rPr>
            </w:pPr>
            <w:r w:rsidRPr="00BF7767">
              <w:rPr>
                <w:rFonts w:eastAsia="Times New Roman"/>
                <w:lang w:eastAsia="hr-HR"/>
              </w:rPr>
              <w:t>2.935.746,16</w:t>
            </w:r>
          </w:p>
        </w:tc>
      </w:tr>
      <w:tr w:rsidR="00C93820" w:rsidRPr="00C93820" w14:paraId="209D9216" w14:textId="35B719A1" w:rsidTr="000E3B9A">
        <w:trPr>
          <w:trHeight w:val="300"/>
          <w:jc w:val="center"/>
        </w:trPr>
        <w:tc>
          <w:tcPr>
            <w:tcW w:w="1097" w:type="dxa"/>
            <w:tcBorders>
              <w:top w:val="nil"/>
              <w:left w:val="single" w:sz="4" w:space="0" w:color="auto"/>
              <w:bottom w:val="single" w:sz="4" w:space="0" w:color="auto"/>
              <w:right w:val="single" w:sz="4" w:space="0" w:color="auto"/>
            </w:tcBorders>
            <w:noWrap/>
            <w:vAlign w:val="center"/>
          </w:tcPr>
          <w:p w14:paraId="5D9C9888" w14:textId="20D99DA4" w:rsidR="00C93820" w:rsidRPr="00C93820" w:rsidRDefault="00C93820" w:rsidP="00022437">
            <w:pPr>
              <w:spacing w:after="0" w:line="240" w:lineRule="auto"/>
              <w:jc w:val="center"/>
              <w:rPr>
                <w:rFonts w:eastAsia="Times New Roman"/>
                <w:b/>
                <w:bCs/>
                <w:lang w:eastAsia="hr-HR"/>
              </w:rPr>
            </w:pPr>
            <w:r w:rsidRPr="00C93820">
              <w:rPr>
                <w:rFonts w:eastAsia="Times New Roman"/>
                <w:b/>
                <w:bCs/>
                <w:lang w:eastAsia="hr-HR"/>
              </w:rPr>
              <w:t>ENS</w:t>
            </w:r>
          </w:p>
        </w:tc>
        <w:tc>
          <w:tcPr>
            <w:tcW w:w="2731" w:type="dxa"/>
            <w:tcBorders>
              <w:top w:val="nil"/>
              <w:left w:val="nil"/>
              <w:bottom w:val="single" w:sz="4" w:space="0" w:color="auto"/>
              <w:right w:val="single" w:sz="4" w:space="0" w:color="auto"/>
            </w:tcBorders>
            <w:noWrap/>
            <w:vAlign w:val="center"/>
          </w:tcPr>
          <w:p w14:paraId="5B948959" w14:textId="3D7CFBD8" w:rsidR="00C93820" w:rsidRPr="00C93820" w:rsidRDefault="00C93820" w:rsidP="00022437">
            <w:pPr>
              <w:spacing w:after="0" w:line="240" w:lineRule="auto"/>
              <w:rPr>
                <w:rFonts w:eastAsia="Times New Roman"/>
                <w:lang w:eastAsia="hr-HR"/>
              </w:rPr>
            </w:pPr>
            <w:r w:rsidRPr="00C93820">
              <w:rPr>
                <w:rFonts w:eastAsia="Times New Roman"/>
                <w:lang w:eastAsia="hr-HR"/>
              </w:rPr>
              <w:t>Energetsko siromaštvo</w:t>
            </w:r>
          </w:p>
        </w:tc>
        <w:tc>
          <w:tcPr>
            <w:tcW w:w="1842" w:type="dxa"/>
            <w:tcBorders>
              <w:top w:val="nil"/>
              <w:left w:val="nil"/>
              <w:bottom w:val="single" w:sz="4" w:space="0" w:color="auto"/>
              <w:right w:val="single" w:sz="4" w:space="0" w:color="auto"/>
            </w:tcBorders>
            <w:noWrap/>
            <w:vAlign w:val="center"/>
          </w:tcPr>
          <w:p w14:paraId="6C660368" w14:textId="71DFCEFD" w:rsidR="00C93820" w:rsidRPr="00C93820" w:rsidRDefault="00BF7767" w:rsidP="00C93820">
            <w:pPr>
              <w:spacing w:after="0" w:line="240" w:lineRule="auto"/>
              <w:jc w:val="center"/>
              <w:rPr>
                <w:rFonts w:eastAsia="Times New Roman"/>
                <w:lang w:eastAsia="hr-HR"/>
              </w:rPr>
            </w:pPr>
            <w:r w:rsidRPr="00BF7767">
              <w:rPr>
                <w:rFonts w:eastAsia="Times New Roman"/>
                <w:lang w:eastAsia="hr-HR"/>
              </w:rPr>
              <w:t>232.504,82</w:t>
            </w:r>
          </w:p>
        </w:tc>
        <w:tc>
          <w:tcPr>
            <w:tcW w:w="1843" w:type="dxa"/>
            <w:tcBorders>
              <w:top w:val="nil"/>
              <w:left w:val="nil"/>
              <w:bottom w:val="single" w:sz="4" w:space="0" w:color="auto"/>
              <w:right w:val="single" w:sz="4" w:space="0" w:color="auto"/>
            </w:tcBorders>
            <w:vAlign w:val="center"/>
          </w:tcPr>
          <w:p w14:paraId="0F0AC212" w14:textId="65E6C108" w:rsidR="00C93820" w:rsidRPr="00C93820" w:rsidRDefault="00BF7767" w:rsidP="00C93820">
            <w:pPr>
              <w:spacing w:after="0" w:line="240" w:lineRule="auto"/>
              <w:jc w:val="center"/>
              <w:rPr>
                <w:rFonts w:eastAsia="Times New Roman"/>
                <w:lang w:eastAsia="hr-HR"/>
              </w:rPr>
            </w:pPr>
            <w:r>
              <w:rPr>
                <w:rFonts w:eastAsia="Times New Roman"/>
                <w:lang w:eastAsia="hr-HR"/>
              </w:rPr>
              <w:t>-</w:t>
            </w:r>
          </w:p>
        </w:tc>
        <w:tc>
          <w:tcPr>
            <w:tcW w:w="1843" w:type="dxa"/>
            <w:tcBorders>
              <w:top w:val="nil"/>
              <w:left w:val="nil"/>
              <w:bottom w:val="single" w:sz="4" w:space="0" w:color="auto"/>
              <w:right w:val="single" w:sz="4" w:space="0" w:color="auto"/>
            </w:tcBorders>
            <w:vAlign w:val="center"/>
          </w:tcPr>
          <w:p w14:paraId="4C5F1219" w14:textId="2984C783" w:rsidR="00C93820" w:rsidRPr="00C93820" w:rsidRDefault="00BF7767" w:rsidP="00664F6B">
            <w:pPr>
              <w:spacing w:after="0" w:line="240" w:lineRule="auto"/>
              <w:jc w:val="center"/>
              <w:rPr>
                <w:rFonts w:eastAsia="Times New Roman"/>
                <w:lang w:eastAsia="hr-HR"/>
              </w:rPr>
            </w:pPr>
            <w:r w:rsidRPr="00BF7767">
              <w:rPr>
                <w:rFonts w:eastAsia="Times New Roman"/>
                <w:lang w:eastAsia="hr-HR"/>
              </w:rPr>
              <w:t>232.504,82</w:t>
            </w:r>
          </w:p>
        </w:tc>
      </w:tr>
      <w:tr w:rsidR="00C93820" w:rsidRPr="00C93820" w14:paraId="00ED025E" w14:textId="76463666" w:rsidTr="000E3B9A">
        <w:trPr>
          <w:trHeight w:val="300"/>
          <w:jc w:val="center"/>
        </w:trPr>
        <w:tc>
          <w:tcPr>
            <w:tcW w:w="1097" w:type="dxa"/>
            <w:tcBorders>
              <w:top w:val="nil"/>
              <w:left w:val="single" w:sz="4" w:space="0" w:color="auto"/>
              <w:bottom w:val="single" w:sz="4" w:space="0" w:color="auto"/>
              <w:right w:val="single" w:sz="4" w:space="0" w:color="auto"/>
            </w:tcBorders>
            <w:noWrap/>
            <w:vAlign w:val="center"/>
            <w:hideMark/>
          </w:tcPr>
          <w:p w14:paraId="5DEC0B1F" w14:textId="77777777" w:rsidR="00C93820" w:rsidRPr="00C93820" w:rsidRDefault="00C93820" w:rsidP="00022437">
            <w:pPr>
              <w:spacing w:after="0" w:line="240" w:lineRule="auto"/>
              <w:jc w:val="center"/>
              <w:rPr>
                <w:rFonts w:eastAsia="Times New Roman"/>
                <w:b/>
                <w:bCs/>
                <w:lang w:eastAsia="hr-HR"/>
              </w:rPr>
            </w:pPr>
            <w:r w:rsidRPr="00C93820">
              <w:rPr>
                <w:rFonts w:eastAsia="Times New Roman"/>
                <w:b/>
                <w:bCs/>
                <w:lang w:eastAsia="hr-HR"/>
              </w:rPr>
              <w:t>PR</w:t>
            </w:r>
          </w:p>
        </w:tc>
        <w:tc>
          <w:tcPr>
            <w:tcW w:w="2731" w:type="dxa"/>
            <w:tcBorders>
              <w:top w:val="nil"/>
              <w:left w:val="nil"/>
              <w:bottom w:val="single" w:sz="4" w:space="0" w:color="auto"/>
              <w:right w:val="single" w:sz="4" w:space="0" w:color="auto"/>
            </w:tcBorders>
            <w:noWrap/>
            <w:vAlign w:val="center"/>
            <w:hideMark/>
          </w:tcPr>
          <w:p w14:paraId="437398C6" w14:textId="77777777" w:rsidR="00C93820" w:rsidRPr="00C93820" w:rsidRDefault="00C93820" w:rsidP="00022437">
            <w:pPr>
              <w:spacing w:after="0" w:line="240" w:lineRule="auto"/>
              <w:rPr>
                <w:rFonts w:eastAsia="Times New Roman"/>
                <w:lang w:eastAsia="hr-HR"/>
              </w:rPr>
            </w:pPr>
            <w:r w:rsidRPr="00C93820">
              <w:rPr>
                <w:rFonts w:eastAsia="Times New Roman"/>
                <w:lang w:eastAsia="hr-HR"/>
              </w:rPr>
              <w:t>Promet</w:t>
            </w:r>
          </w:p>
        </w:tc>
        <w:tc>
          <w:tcPr>
            <w:tcW w:w="1842" w:type="dxa"/>
            <w:tcBorders>
              <w:top w:val="nil"/>
              <w:left w:val="nil"/>
              <w:bottom w:val="single" w:sz="4" w:space="0" w:color="auto"/>
              <w:right w:val="single" w:sz="4" w:space="0" w:color="auto"/>
            </w:tcBorders>
            <w:noWrap/>
            <w:vAlign w:val="center"/>
          </w:tcPr>
          <w:p w14:paraId="44B8CF14" w14:textId="439D79A3" w:rsidR="00C93820" w:rsidRPr="00C93820" w:rsidRDefault="00BF7767" w:rsidP="00C93820">
            <w:pPr>
              <w:spacing w:after="0" w:line="240" w:lineRule="auto"/>
              <w:jc w:val="center"/>
              <w:rPr>
                <w:rFonts w:eastAsia="Times New Roman"/>
                <w:lang w:eastAsia="hr-HR"/>
              </w:rPr>
            </w:pPr>
            <w:r w:rsidRPr="00BF7767">
              <w:rPr>
                <w:rFonts w:eastAsia="Times New Roman"/>
                <w:lang w:eastAsia="hr-HR"/>
              </w:rPr>
              <w:t>14.148,58</w:t>
            </w:r>
          </w:p>
        </w:tc>
        <w:tc>
          <w:tcPr>
            <w:tcW w:w="1843" w:type="dxa"/>
            <w:tcBorders>
              <w:top w:val="nil"/>
              <w:left w:val="nil"/>
              <w:bottom w:val="single" w:sz="4" w:space="0" w:color="auto"/>
              <w:right w:val="single" w:sz="4" w:space="0" w:color="auto"/>
            </w:tcBorders>
            <w:vAlign w:val="center"/>
          </w:tcPr>
          <w:p w14:paraId="37368DF9" w14:textId="6458D326" w:rsidR="00C93820" w:rsidRPr="00C93820" w:rsidRDefault="00BF7767" w:rsidP="00C93820">
            <w:pPr>
              <w:spacing w:after="0" w:line="240" w:lineRule="auto"/>
              <w:jc w:val="center"/>
              <w:rPr>
                <w:rFonts w:eastAsia="Times New Roman"/>
                <w:lang w:eastAsia="hr-HR"/>
              </w:rPr>
            </w:pPr>
            <w:r>
              <w:rPr>
                <w:rFonts w:eastAsia="Times New Roman"/>
                <w:lang w:eastAsia="hr-HR"/>
              </w:rPr>
              <w:t>-</w:t>
            </w:r>
          </w:p>
        </w:tc>
        <w:tc>
          <w:tcPr>
            <w:tcW w:w="1843" w:type="dxa"/>
            <w:tcBorders>
              <w:top w:val="nil"/>
              <w:left w:val="nil"/>
              <w:bottom w:val="single" w:sz="4" w:space="0" w:color="auto"/>
              <w:right w:val="single" w:sz="4" w:space="0" w:color="auto"/>
            </w:tcBorders>
            <w:vAlign w:val="center"/>
          </w:tcPr>
          <w:p w14:paraId="7EA1E7C7" w14:textId="41654019" w:rsidR="00C93820" w:rsidRPr="00C93820" w:rsidRDefault="00BF7767" w:rsidP="00664F6B">
            <w:pPr>
              <w:spacing w:after="0" w:line="240" w:lineRule="auto"/>
              <w:jc w:val="center"/>
              <w:rPr>
                <w:rFonts w:eastAsia="Times New Roman"/>
                <w:lang w:eastAsia="hr-HR"/>
              </w:rPr>
            </w:pPr>
            <w:r w:rsidRPr="00BF7767">
              <w:rPr>
                <w:rFonts w:eastAsia="Times New Roman"/>
                <w:lang w:eastAsia="hr-HR"/>
              </w:rPr>
              <w:t>14.148,58</w:t>
            </w:r>
          </w:p>
        </w:tc>
      </w:tr>
      <w:tr w:rsidR="00C93820" w:rsidRPr="00C93820" w14:paraId="7EA5EBEB" w14:textId="2445BFE5" w:rsidTr="000E3B9A">
        <w:trPr>
          <w:trHeight w:val="300"/>
          <w:jc w:val="center"/>
        </w:trPr>
        <w:tc>
          <w:tcPr>
            <w:tcW w:w="1097" w:type="dxa"/>
            <w:tcBorders>
              <w:top w:val="nil"/>
              <w:left w:val="single" w:sz="4" w:space="0" w:color="auto"/>
              <w:bottom w:val="single" w:sz="4" w:space="0" w:color="auto"/>
              <w:right w:val="single" w:sz="4" w:space="0" w:color="auto"/>
            </w:tcBorders>
            <w:noWrap/>
            <w:vAlign w:val="center"/>
            <w:hideMark/>
          </w:tcPr>
          <w:p w14:paraId="1F808A4C" w14:textId="77777777" w:rsidR="00C93820" w:rsidRPr="00C93820" w:rsidRDefault="00C93820" w:rsidP="00022437">
            <w:pPr>
              <w:spacing w:after="0" w:line="240" w:lineRule="auto"/>
              <w:jc w:val="center"/>
              <w:rPr>
                <w:rFonts w:eastAsia="Times New Roman"/>
                <w:b/>
                <w:bCs/>
                <w:lang w:eastAsia="hr-HR"/>
              </w:rPr>
            </w:pPr>
            <w:r w:rsidRPr="00C93820">
              <w:rPr>
                <w:rFonts w:eastAsia="Times New Roman"/>
                <w:b/>
                <w:bCs/>
                <w:lang w:eastAsia="hr-HR"/>
              </w:rPr>
              <w:t>NES/OT</w:t>
            </w:r>
          </w:p>
        </w:tc>
        <w:tc>
          <w:tcPr>
            <w:tcW w:w="2731" w:type="dxa"/>
            <w:tcBorders>
              <w:top w:val="nil"/>
              <w:left w:val="nil"/>
              <w:bottom w:val="single" w:sz="4" w:space="0" w:color="auto"/>
              <w:right w:val="single" w:sz="4" w:space="0" w:color="auto"/>
            </w:tcBorders>
            <w:noWrap/>
            <w:vAlign w:val="center"/>
            <w:hideMark/>
          </w:tcPr>
          <w:p w14:paraId="2146374A" w14:textId="77777777" w:rsidR="00C93820" w:rsidRPr="00C93820" w:rsidRDefault="00C93820" w:rsidP="005543E3">
            <w:pPr>
              <w:spacing w:after="0" w:line="240" w:lineRule="auto"/>
              <w:rPr>
                <w:rFonts w:eastAsia="Times New Roman"/>
                <w:lang w:eastAsia="hr-HR"/>
              </w:rPr>
            </w:pPr>
            <w:proofErr w:type="spellStart"/>
            <w:r w:rsidRPr="00C93820">
              <w:rPr>
                <w:rFonts w:eastAsia="Times New Roman"/>
                <w:lang w:eastAsia="hr-HR"/>
              </w:rPr>
              <w:t>Neenergetski</w:t>
            </w:r>
            <w:proofErr w:type="spellEnd"/>
            <w:r w:rsidRPr="00C93820">
              <w:rPr>
                <w:rFonts w:eastAsia="Times New Roman"/>
                <w:lang w:eastAsia="hr-HR"/>
              </w:rPr>
              <w:t xml:space="preserve"> sektor (uključujući sektor gospodarenje otpadom)</w:t>
            </w:r>
          </w:p>
        </w:tc>
        <w:tc>
          <w:tcPr>
            <w:tcW w:w="1842" w:type="dxa"/>
            <w:tcBorders>
              <w:top w:val="nil"/>
              <w:left w:val="nil"/>
              <w:bottom w:val="single" w:sz="4" w:space="0" w:color="auto"/>
              <w:right w:val="single" w:sz="4" w:space="0" w:color="auto"/>
            </w:tcBorders>
            <w:noWrap/>
            <w:vAlign w:val="center"/>
          </w:tcPr>
          <w:p w14:paraId="1DC3E146" w14:textId="38CAF0C4" w:rsidR="00C93820" w:rsidRPr="00C93820" w:rsidRDefault="000E3B9A" w:rsidP="00C93820">
            <w:pPr>
              <w:spacing w:after="0" w:line="240" w:lineRule="auto"/>
              <w:jc w:val="center"/>
              <w:rPr>
                <w:rFonts w:eastAsia="Times New Roman"/>
                <w:lang w:eastAsia="hr-HR"/>
              </w:rPr>
            </w:pPr>
            <w:r w:rsidRPr="000E3B9A">
              <w:rPr>
                <w:rFonts w:eastAsia="Times New Roman"/>
                <w:lang w:eastAsia="hr-HR"/>
              </w:rPr>
              <w:t>375.540,98</w:t>
            </w:r>
          </w:p>
        </w:tc>
        <w:tc>
          <w:tcPr>
            <w:tcW w:w="1843" w:type="dxa"/>
            <w:tcBorders>
              <w:top w:val="nil"/>
              <w:left w:val="nil"/>
              <w:bottom w:val="single" w:sz="4" w:space="0" w:color="auto"/>
              <w:right w:val="single" w:sz="4" w:space="0" w:color="auto"/>
            </w:tcBorders>
            <w:vAlign w:val="center"/>
          </w:tcPr>
          <w:p w14:paraId="3DC0D738" w14:textId="37891F09" w:rsidR="00C93820" w:rsidRPr="00C93820" w:rsidRDefault="000E3B9A" w:rsidP="00C93820">
            <w:pPr>
              <w:spacing w:after="0" w:line="240" w:lineRule="auto"/>
              <w:jc w:val="center"/>
              <w:rPr>
                <w:rFonts w:eastAsia="Times New Roman"/>
                <w:lang w:eastAsia="hr-HR"/>
              </w:rPr>
            </w:pPr>
            <w:r w:rsidRPr="000E3B9A">
              <w:rPr>
                <w:rFonts w:eastAsia="Times New Roman"/>
                <w:lang w:eastAsia="hr-HR"/>
              </w:rPr>
              <w:t>9.009,93</w:t>
            </w:r>
          </w:p>
        </w:tc>
        <w:tc>
          <w:tcPr>
            <w:tcW w:w="1843" w:type="dxa"/>
            <w:tcBorders>
              <w:top w:val="nil"/>
              <w:left w:val="nil"/>
              <w:bottom w:val="single" w:sz="4" w:space="0" w:color="auto"/>
              <w:right w:val="single" w:sz="4" w:space="0" w:color="auto"/>
            </w:tcBorders>
            <w:vAlign w:val="center"/>
          </w:tcPr>
          <w:p w14:paraId="22DF7EBF" w14:textId="492460BB" w:rsidR="00C93820" w:rsidRPr="00C93820" w:rsidRDefault="000E3B9A" w:rsidP="00664F6B">
            <w:pPr>
              <w:spacing w:after="0" w:line="240" w:lineRule="auto"/>
              <w:jc w:val="center"/>
              <w:rPr>
                <w:rFonts w:eastAsia="Times New Roman"/>
                <w:lang w:eastAsia="hr-HR"/>
              </w:rPr>
            </w:pPr>
            <w:r w:rsidRPr="000E3B9A">
              <w:rPr>
                <w:rFonts w:eastAsia="Times New Roman"/>
                <w:lang w:eastAsia="hr-HR"/>
              </w:rPr>
              <w:t xml:space="preserve">384.550,91   </w:t>
            </w:r>
          </w:p>
        </w:tc>
      </w:tr>
      <w:tr w:rsidR="00C93820" w:rsidRPr="00C93820" w14:paraId="4100CAC5" w14:textId="730E34F5" w:rsidTr="000E3B9A">
        <w:trPr>
          <w:trHeight w:val="300"/>
          <w:jc w:val="center"/>
        </w:trPr>
        <w:tc>
          <w:tcPr>
            <w:tcW w:w="1097" w:type="dxa"/>
            <w:tcBorders>
              <w:top w:val="nil"/>
              <w:left w:val="single" w:sz="4" w:space="0" w:color="auto"/>
              <w:bottom w:val="single" w:sz="4" w:space="0" w:color="auto"/>
              <w:right w:val="single" w:sz="4" w:space="0" w:color="auto"/>
            </w:tcBorders>
            <w:noWrap/>
            <w:vAlign w:val="center"/>
            <w:hideMark/>
          </w:tcPr>
          <w:p w14:paraId="3E588261" w14:textId="77777777" w:rsidR="00C93820" w:rsidRPr="00C93820" w:rsidRDefault="00C93820" w:rsidP="00022437">
            <w:pPr>
              <w:spacing w:after="0" w:line="240" w:lineRule="auto"/>
              <w:jc w:val="center"/>
              <w:rPr>
                <w:rFonts w:eastAsia="Times New Roman"/>
                <w:b/>
                <w:bCs/>
                <w:lang w:eastAsia="hr-HR"/>
              </w:rPr>
            </w:pPr>
            <w:r w:rsidRPr="00C93820">
              <w:rPr>
                <w:rFonts w:eastAsia="Times New Roman"/>
                <w:b/>
                <w:bCs/>
                <w:lang w:eastAsia="hr-HR"/>
              </w:rPr>
              <w:t>ESIF</w:t>
            </w:r>
          </w:p>
        </w:tc>
        <w:tc>
          <w:tcPr>
            <w:tcW w:w="2731" w:type="dxa"/>
            <w:tcBorders>
              <w:top w:val="nil"/>
              <w:left w:val="nil"/>
              <w:bottom w:val="single" w:sz="4" w:space="0" w:color="auto"/>
              <w:right w:val="single" w:sz="4" w:space="0" w:color="auto"/>
            </w:tcBorders>
            <w:noWrap/>
            <w:vAlign w:val="center"/>
            <w:hideMark/>
          </w:tcPr>
          <w:p w14:paraId="648EA9F7" w14:textId="77777777" w:rsidR="00C93820" w:rsidRPr="00C93820" w:rsidRDefault="00C93820" w:rsidP="00C93820">
            <w:pPr>
              <w:spacing w:after="0" w:line="240" w:lineRule="auto"/>
              <w:jc w:val="left"/>
              <w:rPr>
                <w:rFonts w:eastAsia="Times New Roman"/>
                <w:lang w:eastAsia="hr-HR"/>
              </w:rPr>
            </w:pPr>
            <w:r w:rsidRPr="00C93820">
              <w:rPr>
                <w:rFonts w:eastAsia="Times New Roman"/>
                <w:lang w:eastAsia="hr-HR"/>
              </w:rPr>
              <w:t>Projekti OPKK i prilagodbe klimatskim promjenama</w:t>
            </w:r>
          </w:p>
        </w:tc>
        <w:tc>
          <w:tcPr>
            <w:tcW w:w="1842" w:type="dxa"/>
            <w:tcBorders>
              <w:top w:val="nil"/>
              <w:left w:val="nil"/>
              <w:bottom w:val="single" w:sz="4" w:space="0" w:color="auto"/>
              <w:right w:val="single" w:sz="4" w:space="0" w:color="auto"/>
            </w:tcBorders>
            <w:noWrap/>
            <w:vAlign w:val="center"/>
          </w:tcPr>
          <w:p w14:paraId="501B43B1" w14:textId="6FB6E753" w:rsidR="00C93820" w:rsidRPr="00C93820" w:rsidRDefault="000E3B9A" w:rsidP="00C93820">
            <w:pPr>
              <w:spacing w:after="0" w:line="240" w:lineRule="auto"/>
              <w:jc w:val="center"/>
              <w:rPr>
                <w:rFonts w:eastAsia="Times New Roman"/>
                <w:lang w:eastAsia="hr-HR"/>
              </w:rPr>
            </w:pPr>
            <w:r w:rsidRPr="000E3B9A">
              <w:rPr>
                <w:rFonts w:eastAsia="Times New Roman"/>
                <w:lang w:eastAsia="hr-HR"/>
              </w:rPr>
              <w:t>3.213.951,53</w:t>
            </w:r>
          </w:p>
        </w:tc>
        <w:tc>
          <w:tcPr>
            <w:tcW w:w="1843" w:type="dxa"/>
            <w:tcBorders>
              <w:top w:val="nil"/>
              <w:left w:val="nil"/>
              <w:bottom w:val="single" w:sz="4" w:space="0" w:color="auto"/>
              <w:right w:val="single" w:sz="4" w:space="0" w:color="auto"/>
            </w:tcBorders>
            <w:vAlign w:val="center"/>
          </w:tcPr>
          <w:p w14:paraId="5B2388C4" w14:textId="55D35987" w:rsidR="00C93820" w:rsidRPr="00C93820" w:rsidRDefault="000E3B9A" w:rsidP="00C93820">
            <w:pPr>
              <w:spacing w:after="0" w:line="240" w:lineRule="auto"/>
              <w:jc w:val="center"/>
              <w:rPr>
                <w:rFonts w:eastAsia="Times New Roman"/>
                <w:lang w:eastAsia="hr-HR"/>
              </w:rPr>
            </w:pPr>
            <w:r w:rsidRPr="000E3B9A">
              <w:rPr>
                <w:rFonts w:eastAsia="Times New Roman"/>
                <w:lang w:eastAsia="hr-HR"/>
              </w:rPr>
              <w:t>3.973.443,96</w:t>
            </w:r>
          </w:p>
        </w:tc>
        <w:tc>
          <w:tcPr>
            <w:tcW w:w="1843" w:type="dxa"/>
            <w:tcBorders>
              <w:top w:val="nil"/>
              <w:left w:val="nil"/>
              <w:bottom w:val="single" w:sz="4" w:space="0" w:color="auto"/>
              <w:right w:val="single" w:sz="4" w:space="0" w:color="auto"/>
            </w:tcBorders>
            <w:vAlign w:val="center"/>
          </w:tcPr>
          <w:p w14:paraId="03129777" w14:textId="07EE98B1" w:rsidR="00C93820" w:rsidRPr="00C93820" w:rsidRDefault="000E3B9A" w:rsidP="00664F6B">
            <w:pPr>
              <w:spacing w:after="0" w:line="240" w:lineRule="auto"/>
              <w:jc w:val="center"/>
              <w:rPr>
                <w:rFonts w:eastAsia="Times New Roman"/>
                <w:lang w:eastAsia="hr-HR"/>
              </w:rPr>
            </w:pPr>
            <w:r w:rsidRPr="000E3B9A">
              <w:rPr>
                <w:rFonts w:eastAsia="Times New Roman"/>
                <w:lang w:eastAsia="hr-HR"/>
              </w:rPr>
              <w:t xml:space="preserve">7.187.395,49   </w:t>
            </w:r>
          </w:p>
        </w:tc>
      </w:tr>
      <w:tr w:rsidR="00C93820" w:rsidRPr="00C93820" w14:paraId="1AB5B9C5" w14:textId="7B495877" w:rsidTr="000E3B9A">
        <w:trPr>
          <w:trHeight w:val="300"/>
          <w:jc w:val="center"/>
        </w:trPr>
        <w:tc>
          <w:tcPr>
            <w:tcW w:w="1097" w:type="dxa"/>
            <w:tcBorders>
              <w:top w:val="nil"/>
              <w:left w:val="single" w:sz="4" w:space="0" w:color="auto"/>
              <w:bottom w:val="single" w:sz="4" w:space="0" w:color="auto"/>
              <w:right w:val="single" w:sz="4" w:space="0" w:color="auto"/>
            </w:tcBorders>
            <w:noWrap/>
            <w:vAlign w:val="center"/>
            <w:hideMark/>
          </w:tcPr>
          <w:p w14:paraId="566FCFDE" w14:textId="77777777" w:rsidR="00C93820" w:rsidRPr="00C93820" w:rsidRDefault="00C93820" w:rsidP="00022437">
            <w:pPr>
              <w:spacing w:after="0" w:line="240" w:lineRule="auto"/>
              <w:jc w:val="center"/>
              <w:rPr>
                <w:rFonts w:eastAsia="Times New Roman"/>
                <w:b/>
                <w:bCs/>
                <w:lang w:eastAsia="hr-HR"/>
              </w:rPr>
            </w:pPr>
            <w:r w:rsidRPr="00C93820">
              <w:rPr>
                <w:rFonts w:eastAsia="Times New Roman"/>
                <w:b/>
                <w:bCs/>
                <w:lang w:eastAsia="hr-HR"/>
              </w:rPr>
              <w:t>IR</w:t>
            </w:r>
          </w:p>
        </w:tc>
        <w:tc>
          <w:tcPr>
            <w:tcW w:w="2731" w:type="dxa"/>
            <w:tcBorders>
              <w:top w:val="nil"/>
              <w:left w:val="nil"/>
              <w:bottom w:val="single" w:sz="4" w:space="0" w:color="auto"/>
              <w:right w:val="single" w:sz="4" w:space="0" w:color="auto"/>
            </w:tcBorders>
            <w:noWrap/>
            <w:vAlign w:val="center"/>
            <w:hideMark/>
          </w:tcPr>
          <w:p w14:paraId="1A864B7F" w14:textId="77777777" w:rsidR="00C93820" w:rsidRPr="00C93820" w:rsidRDefault="00C93820" w:rsidP="00C93820">
            <w:pPr>
              <w:spacing w:after="0" w:line="240" w:lineRule="auto"/>
              <w:jc w:val="left"/>
              <w:rPr>
                <w:rFonts w:eastAsia="Times New Roman"/>
                <w:lang w:eastAsia="hr-HR"/>
              </w:rPr>
            </w:pPr>
            <w:r w:rsidRPr="00C93820">
              <w:rPr>
                <w:rFonts w:eastAsia="Times New Roman"/>
                <w:lang w:eastAsia="hr-HR"/>
              </w:rPr>
              <w:t>Istraživanje i razvoj i stručna podrška</w:t>
            </w:r>
          </w:p>
        </w:tc>
        <w:tc>
          <w:tcPr>
            <w:tcW w:w="1842" w:type="dxa"/>
            <w:tcBorders>
              <w:top w:val="nil"/>
              <w:left w:val="nil"/>
              <w:bottom w:val="single" w:sz="4" w:space="0" w:color="auto"/>
              <w:right w:val="single" w:sz="4" w:space="0" w:color="auto"/>
            </w:tcBorders>
            <w:noWrap/>
            <w:vAlign w:val="center"/>
          </w:tcPr>
          <w:p w14:paraId="2D0B046E" w14:textId="48FE3B35" w:rsidR="00C93820" w:rsidRPr="00C93820" w:rsidRDefault="000E3B9A" w:rsidP="00C93820">
            <w:pPr>
              <w:spacing w:after="0" w:line="240" w:lineRule="auto"/>
              <w:jc w:val="center"/>
              <w:rPr>
                <w:rFonts w:eastAsia="Times New Roman"/>
                <w:lang w:eastAsia="hr-HR"/>
              </w:rPr>
            </w:pPr>
            <w:r w:rsidRPr="000E3B9A">
              <w:rPr>
                <w:rFonts w:eastAsia="Times New Roman"/>
                <w:lang w:eastAsia="hr-HR"/>
              </w:rPr>
              <w:t>39.484,61</w:t>
            </w:r>
          </w:p>
        </w:tc>
        <w:tc>
          <w:tcPr>
            <w:tcW w:w="1843" w:type="dxa"/>
            <w:tcBorders>
              <w:top w:val="nil"/>
              <w:left w:val="nil"/>
              <w:bottom w:val="single" w:sz="4" w:space="0" w:color="auto"/>
              <w:right w:val="single" w:sz="4" w:space="0" w:color="auto"/>
            </w:tcBorders>
            <w:vAlign w:val="center"/>
          </w:tcPr>
          <w:p w14:paraId="00C9ED6E" w14:textId="1E1400D3" w:rsidR="00C93820" w:rsidRPr="00C93820" w:rsidRDefault="000E3B9A" w:rsidP="00C93820">
            <w:pPr>
              <w:spacing w:after="0" w:line="240" w:lineRule="auto"/>
              <w:jc w:val="center"/>
              <w:rPr>
                <w:rFonts w:eastAsia="Times New Roman"/>
                <w:lang w:eastAsia="hr-HR"/>
              </w:rPr>
            </w:pPr>
            <w:r w:rsidRPr="000E3B9A">
              <w:rPr>
                <w:rFonts w:eastAsia="Times New Roman"/>
                <w:lang w:eastAsia="hr-HR"/>
              </w:rPr>
              <w:t>510.468,56</w:t>
            </w:r>
          </w:p>
        </w:tc>
        <w:tc>
          <w:tcPr>
            <w:tcW w:w="1843" w:type="dxa"/>
            <w:tcBorders>
              <w:top w:val="nil"/>
              <w:left w:val="nil"/>
              <w:bottom w:val="single" w:sz="4" w:space="0" w:color="auto"/>
              <w:right w:val="single" w:sz="4" w:space="0" w:color="auto"/>
            </w:tcBorders>
            <w:vAlign w:val="center"/>
          </w:tcPr>
          <w:p w14:paraId="47D3BBD4" w14:textId="188EAE84" w:rsidR="00C93820" w:rsidRPr="00C93820" w:rsidRDefault="000E3B9A" w:rsidP="00664F6B">
            <w:pPr>
              <w:spacing w:after="0" w:line="240" w:lineRule="auto"/>
              <w:jc w:val="center"/>
              <w:rPr>
                <w:rFonts w:eastAsia="Times New Roman"/>
                <w:lang w:eastAsia="hr-HR"/>
              </w:rPr>
            </w:pPr>
            <w:r w:rsidRPr="000E3B9A">
              <w:rPr>
                <w:rFonts w:eastAsia="Times New Roman"/>
                <w:lang w:eastAsia="hr-HR"/>
              </w:rPr>
              <w:t xml:space="preserve">549.953,17   </w:t>
            </w:r>
          </w:p>
        </w:tc>
      </w:tr>
      <w:tr w:rsidR="00C93820" w:rsidRPr="00C93820" w14:paraId="37B4C9A3" w14:textId="20D98278" w:rsidTr="000E3B9A">
        <w:trPr>
          <w:trHeight w:val="300"/>
          <w:jc w:val="center"/>
        </w:trPr>
        <w:tc>
          <w:tcPr>
            <w:tcW w:w="1097" w:type="dxa"/>
            <w:tcBorders>
              <w:top w:val="nil"/>
              <w:left w:val="single" w:sz="4" w:space="0" w:color="auto"/>
              <w:bottom w:val="single" w:sz="4" w:space="0" w:color="auto"/>
              <w:right w:val="single" w:sz="4" w:space="0" w:color="auto"/>
            </w:tcBorders>
            <w:noWrap/>
            <w:vAlign w:val="center"/>
          </w:tcPr>
          <w:p w14:paraId="7E7C2207" w14:textId="3A896C8F" w:rsidR="00C93820" w:rsidRPr="00C93820" w:rsidRDefault="00C93820" w:rsidP="00022437">
            <w:pPr>
              <w:spacing w:after="0" w:line="240" w:lineRule="auto"/>
              <w:jc w:val="center"/>
              <w:rPr>
                <w:rFonts w:eastAsia="Times New Roman"/>
                <w:b/>
                <w:bCs/>
                <w:lang w:eastAsia="hr-HR"/>
              </w:rPr>
            </w:pPr>
            <w:r w:rsidRPr="00C93820">
              <w:rPr>
                <w:rFonts w:eastAsia="Times New Roman"/>
                <w:b/>
                <w:bCs/>
                <w:lang w:eastAsia="hr-HR"/>
              </w:rPr>
              <w:t>TZ</w:t>
            </w:r>
          </w:p>
        </w:tc>
        <w:tc>
          <w:tcPr>
            <w:tcW w:w="2731" w:type="dxa"/>
            <w:tcBorders>
              <w:top w:val="nil"/>
              <w:left w:val="nil"/>
              <w:bottom w:val="single" w:sz="4" w:space="0" w:color="auto"/>
              <w:right w:val="single" w:sz="4" w:space="0" w:color="auto"/>
            </w:tcBorders>
            <w:noWrap/>
            <w:vAlign w:val="center"/>
          </w:tcPr>
          <w:p w14:paraId="7B326146" w14:textId="5CD40C71" w:rsidR="00C93820" w:rsidRPr="00C93820" w:rsidRDefault="00C93820" w:rsidP="00C93820">
            <w:pPr>
              <w:spacing w:after="0" w:line="240" w:lineRule="auto"/>
              <w:jc w:val="left"/>
              <w:rPr>
                <w:rFonts w:eastAsia="Times New Roman"/>
                <w:lang w:eastAsia="hr-HR"/>
              </w:rPr>
            </w:pPr>
            <w:r w:rsidRPr="00C93820">
              <w:rPr>
                <w:rFonts w:eastAsia="Times New Roman"/>
                <w:lang w:eastAsia="hr-HR"/>
              </w:rPr>
              <w:t>Treće zemlje</w:t>
            </w:r>
          </w:p>
        </w:tc>
        <w:tc>
          <w:tcPr>
            <w:tcW w:w="1842" w:type="dxa"/>
            <w:tcBorders>
              <w:top w:val="nil"/>
              <w:left w:val="nil"/>
              <w:bottom w:val="single" w:sz="4" w:space="0" w:color="auto"/>
              <w:right w:val="single" w:sz="4" w:space="0" w:color="auto"/>
            </w:tcBorders>
            <w:noWrap/>
            <w:vAlign w:val="center"/>
          </w:tcPr>
          <w:p w14:paraId="56CAA8A6" w14:textId="71EB374A" w:rsidR="00C93820" w:rsidRPr="00C93820" w:rsidRDefault="00C93820" w:rsidP="00C93820">
            <w:pPr>
              <w:spacing w:after="0" w:line="240" w:lineRule="auto"/>
              <w:jc w:val="center"/>
              <w:rPr>
                <w:rFonts w:eastAsia="Times New Roman"/>
                <w:lang w:eastAsia="hr-HR"/>
              </w:rPr>
            </w:pPr>
            <w:r w:rsidRPr="00C93820">
              <w:rPr>
                <w:rFonts w:eastAsia="Times New Roman"/>
                <w:lang w:eastAsia="hr-HR"/>
              </w:rPr>
              <w:t>0,00</w:t>
            </w:r>
          </w:p>
        </w:tc>
        <w:tc>
          <w:tcPr>
            <w:tcW w:w="1843" w:type="dxa"/>
            <w:tcBorders>
              <w:top w:val="nil"/>
              <w:left w:val="nil"/>
              <w:bottom w:val="single" w:sz="4" w:space="0" w:color="auto"/>
              <w:right w:val="single" w:sz="4" w:space="0" w:color="auto"/>
            </w:tcBorders>
            <w:vAlign w:val="center"/>
          </w:tcPr>
          <w:p w14:paraId="4F1343E9" w14:textId="2D332A9B" w:rsidR="00C93820" w:rsidRPr="00C93820" w:rsidRDefault="00C93820" w:rsidP="00C93820">
            <w:pPr>
              <w:spacing w:after="0" w:line="240" w:lineRule="auto"/>
              <w:jc w:val="center"/>
              <w:rPr>
                <w:rFonts w:eastAsia="Times New Roman"/>
                <w:lang w:eastAsia="hr-HR"/>
              </w:rPr>
            </w:pPr>
            <w:r w:rsidRPr="00C93820">
              <w:rPr>
                <w:rFonts w:eastAsia="Times New Roman"/>
                <w:lang w:eastAsia="hr-HR"/>
              </w:rPr>
              <w:t>0,00</w:t>
            </w:r>
          </w:p>
        </w:tc>
        <w:tc>
          <w:tcPr>
            <w:tcW w:w="1843" w:type="dxa"/>
            <w:tcBorders>
              <w:top w:val="nil"/>
              <w:left w:val="nil"/>
              <w:bottom w:val="single" w:sz="4" w:space="0" w:color="auto"/>
              <w:right w:val="single" w:sz="4" w:space="0" w:color="auto"/>
            </w:tcBorders>
            <w:vAlign w:val="center"/>
          </w:tcPr>
          <w:p w14:paraId="536EEFE3" w14:textId="24253D61" w:rsidR="00C93820" w:rsidRPr="00C93820" w:rsidRDefault="00664F6B" w:rsidP="00664F6B">
            <w:pPr>
              <w:spacing w:after="0" w:line="240" w:lineRule="auto"/>
              <w:jc w:val="center"/>
              <w:rPr>
                <w:rFonts w:eastAsia="Times New Roman"/>
                <w:lang w:eastAsia="hr-HR"/>
              </w:rPr>
            </w:pPr>
            <w:r>
              <w:rPr>
                <w:rFonts w:eastAsia="Times New Roman"/>
                <w:lang w:eastAsia="hr-HR"/>
              </w:rPr>
              <w:t>0,00</w:t>
            </w:r>
          </w:p>
        </w:tc>
      </w:tr>
      <w:tr w:rsidR="00C93820" w:rsidRPr="00C93820" w14:paraId="6516B64E" w14:textId="61F5BD71" w:rsidTr="000E3B9A">
        <w:trPr>
          <w:trHeight w:val="300"/>
          <w:jc w:val="center"/>
        </w:trPr>
        <w:tc>
          <w:tcPr>
            <w:tcW w:w="1097" w:type="dxa"/>
            <w:tcBorders>
              <w:top w:val="nil"/>
              <w:left w:val="single" w:sz="4" w:space="0" w:color="auto"/>
              <w:bottom w:val="single" w:sz="4" w:space="0" w:color="auto"/>
              <w:right w:val="single" w:sz="4" w:space="0" w:color="auto"/>
            </w:tcBorders>
            <w:noWrap/>
            <w:vAlign w:val="center"/>
          </w:tcPr>
          <w:p w14:paraId="6E2A37E5" w14:textId="52FCA712" w:rsidR="00C93820" w:rsidRPr="00C93820" w:rsidRDefault="00C93820" w:rsidP="00022437">
            <w:pPr>
              <w:spacing w:after="0" w:line="240" w:lineRule="auto"/>
              <w:jc w:val="center"/>
              <w:rPr>
                <w:rFonts w:eastAsia="Times New Roman"/>
                <w:b/>
                <w:bCs/>
                <w:lang w:eastAsia="hr-HR"/>
              </w:rPr>
            </w:pPr>
            <w:r w:rsidRPr="00C93820">
              <w:rPr>
                <w:rFonts w:eastAsia="Times New Roman"/>
                <w:b/>
                <w:bCs/>
                <w:lang w:eastAsia="hr-HR"/>
              </w:rPr>
              <w:t>CGO</w:t>
            </w:r>
          </w:p>
        </w:tc>
        <w:tc>
          <w:tcPr>
            <w:tcW w:w="2731" w:type="dxa"/>
            <w:tcBorders>
              <w:top w:val="nil"/>
              <w:left w:val="nil"/>
              <w:bottom w:val="single" w:sz="4" w:space="0" w:color="auto"/>
              <w:right w:val="single" w:sz="4" w:space="0" w:color="auto"/>
            </w:tcBorders>
            <w:noWrap/>
            <w:vAlign w:val="center"/>
          </w:tcPr>
          <w:p w14:paraId="64AF3F48" w14:textId="6FEF3F02" w:rsidR="00C93820" w:rsidRPr="00C93820" w:rsidRDefault="00C93820" w:rsidP="00C93820">
            <w:pPr>
              <w:spacing w:after="0" w:line="240" w:lineRule="auto"/>
              <w:jc w:val="left"/>
              <w:rPr>
                <w:rFonts w:eastAsia="Times New Roman"/>
                <w:lang w:eastAsia="hr-HR"/>
              </w:rPr>
            </w:pPr>
            <w:r w:rsidRPr="00C93820">
              <w:rPr>
                <w:rFonts w:eastAsia="Times New Roman"/>
                <w:lang w:eastAsia="hr-HR"/>
              </w:rPr>
              <w:t>Centri za gospodarenje otpadom</w:t>
            </w:r>
          </w:p>
        </w:tc>
        <w:tc>
          <w:tcPr>
            <w:tcW w:w="1842" w:type="dxa"/>
            <w:tcBorders>
              <w:top w:val="nil"/>
              <w:left w:val="nil"/>
              <w:bottom w:val="single" w:sz="4" w:space="0" w:color="auto"/>
              <w:right w:val="single" w:sz="4" w:space="0" w:color="auto"/>
            </w:tcBorders>
            <w:noWrap/>
            <w:vAlign w:val="center"/>
          </w:tcPr>
          <w:p w14:paraId="321B86FF" w14:textId="6B27D3C1" w:rsidR="00C93820" w:rsidRPr="00C93820" w:rsidRDefault="000E3B9A" w:rsidP="00C93820">
            <w:pPr>
              <w:spacing w:after="0" w:line="240" w:lineRule="auto"/>
              <w:jc w:val="center"/>
              <w:rPr>
                <w:rFonts w:eastAsia="Times New Roman"/>
                <w:lang w:eastAsia="hr-HR"/>
              </w:rPr>
            </w:pPr>
            <w:r w:rsidRPr="000E3B9A">
              <w:rPr>
                <w:rFonts w:eastAsia="Times New Roman"/>
                <w:lang w:eastAsia="hr-HR"/>
              </w:rPr>
              <w:t>8.849.338,79</w:t>
            </w:r>
          </w:p>
        </w:tc>
        <w:tc>
          <w:tcPr>
            <w:tcW w:w="1843" w:type="dxa"/>
            <w:tcBorders>
              <w:top w:val="nil"/>
              <w:left w:val="nil"/>
              <w:bottom w:val="single" w:sz="4" w:space="0" w:color="auto"/>
              <w:right w:val="single" w:sz="4" w:space="0" w:color="auto"/>
            </w:tcBorders>
            <w:vAlign w:val="center"/>
          </w:tcPr>
          <w:p w14:paraId="61782F91" w14:textId="17B068CE" w:rsidR="00C93820" w:rsidRPr="00C93820" w:rsidRDefault="000E3B9A" w:rsidP="00C93820">
            <w:pPr>
              <w:spacing w:after="0" w:line="240" w:lineRule="auto"/>
              <w:jc w:val="center"/>
              <w:rPr>
                <w:rFonts w:eastAsia="Times New Roman"/>
                <w:lang w:eastAsia="hr-HR"/>
              </w:rPr>
            </w:pPr>
            <w:r w:rsidRPr="000E3B9A">
              <w:rPr>
                <w:rFonts w:eastAsia="Times New Roman"/>
                <w:lang w:eastAsia="hr-HR"/>
              </w:rPr>
              <w:t>7.920.615,48</w:t>
            </w:r>
          </w:p>
        </w:tc>
        <w:tc>
          <w:tcPr>
            <w:tcW w:w="1843" w:type="dxa"/>
            <w:tcBorders>
              <w:top w:val="nil"/>
              <w:left w:val="nil"/>
              <w:bottom w:val="single" w:sz="4" w:space="0" w:color="auto"/>
              <w:right w:val="single" w:sz="4" w:space="0" w:color="auto"/>
            </w:tcBorders>
            <w:vAlign w:val="center"/>
          </w:tcPr>
          <w:p w14:paraId="2B717A0F" w14:textId="158C81C2" w:rsidR="00C93820" w:rsidRPr="00C93820" w:rsidRDefault="000E3B9A" w:rsidP="00664F6B">
            <w:pPr>
              <w:spacing w:after="0" w:line="240" w:lineRule="auto"/>
              <w:jc w:val="center"/>
              <w:rPr>
                <w:rFonts w:eastAsia="Times New Roman"/>
                <w:lang w:eastAsia="hr-HR"/>
              </w:rPr>
            </w:pPr>
            <w:r w:rsidRPr="000E3B9A">
              <w:rPr>
                <w:rFonts w:eastAsia="Times New Roman"/>
                <w:lang w:eastAsia="hr-HR"/>
              </w:rPr>
              <w:t xml:space="preserve">16.769.954,27   </w:t>
            </w:r>
          </w:p>
        </w:tc>
      </w:tr>
      <w:tr w:rsidR="00BB6DE8" w:rsidRPr="00C93820" w14:paraId="609B8118" w14:textId="3B645B67" w:rsidTr="000D50F4">
        <w:trPr>
          <w:trHeight w:val="300"/>
          <w:jc w:val="center"/>
        </w:trPr>
        <w:tc>
          <w:tcPr>
            <w:tcW w:w="1097" w:type="dxa"/>
            <w:tcBorders>
              <w:top w:val="nil"/>
              <w:left w:val="single" w:sz="4" w:space="0" w:color="auto"/>
              <w:bottom w:val="single" w:sz="4" w:space="0" w:color="auto"/>
              <w:right w:val="single" w:sz="4" w:space="0" w:color="auto"/>
            </w:tcBorders>
            <w:shd w:val="clear" w:color="000000" w:fill="BFBFBF"/>
            <w:noWrap/>
            <w:vAlign w:val="center"/>
            <w:hideMark/>
          </w:tcPr>
          <w:p w14:paraId="48A46AD2" w14:textId="525BFF77" w:rsidR="00BB6DE8" w:rsidRPr="00C93820" w:rsidRDefault="00BB6DE8" w:rsidP="00BB6DE8">
            <w:pPr>
              <w:spacing w:after="0" w:line="240" w:lineRule="auto"/>
              <w:rPr>
                <w:rFonts w:eastAsia="Times New Roman"/>
                <w:b/>
                <w:bCs/>
                <w:lang w:eastAsia="hr-HR"/>
              </w:rPr>
            </w:pPr>
          </w:p>
        </w:tc>
        <w:tc>
          <w:tcPr>
            <w:tcW w:w="2731" w:type="dxa"/>
            <w:tcBorders>
              <w:top w:val="nil"/>
              <w:left w:val="nil"/>
              <w:bottom w:val="single" w:sz="4" w:space="0" w:color="auto"/>
              <w:right w:val="single" w:sz="4" w:space="0" w:color="auto"/>
            </w:tcBorders>
            <w:shd w:val="clear" w:color="000000" w:fill="BFBFBF"/>
            <w:noWrap/>
            <w:vAlign w:val="center"/>
            <w:hideMark/>
          </w:tcPr>
          <w:p w14:paraId="66A2D33A" w14:textId="75A6F2FC" w:rsidR="00BB6DE8" w:rsidRPr="00C93820" w:rsidRDefault="00BB6DE8" w:rsidP="00BB6DE8">
            <w:pPr>
              <w:spacing w:after="0" w:line="240" w:lineRule="auto"/>
              <w:jc w:val="left"/>
              <w:rPr>
                <w:rFonts w:eastAsia="Times New Roman"/>
                <w:b/>
                <w:bCs/>
                <w:lang w:eastAsia="hr-HR"/>
              </w:rPr>
            </w:pPr>
            <w:r w:rsidRPr="00C93820">
              <w:rPr>
                <w:rFonts w:eastAsia="Times New Roman"/>
                <w:b/>
                <w:bCs/>
                <w:lang w:eastAsia="hr-HR"/>
              </w:rPr>
              <w:t>SVEUKUPNO</w:t>
            </w:r>
          </w:p>
        </w:tc>
        <w:tc>
          <w:tcPr>
            <w:tcW w:w="1842" w:type="dxa"/>
            <w:tcBorders>
              <w:top w:val="nil"/>
              <w:left w:val="nil"/>
              <w:bottom w:val="single" w:sz="8" w:space="0" w:color="auto"/>
              <w:right w:val="single" w:sz="8" w:space="0" w:color="auto"/>
            </w:tcBorders>
            <w:shd w:val="clear" w:color="000000" w:fill="BFBFBF"/>
            <w:noWrap/>
            <w:vAlign w:val="center"/>
          </w:tcPr>
          <w:p w14:paraId="0F8E4937" w14:textId="63D16F30" w:rsidR="00BB6DE8" w:rsidRPr="00C93820" w:rsidRDefault="00BB6DE8" w:rsidP="00BB6DE8">
            <w:pPr>
              <w:spacing w:after="0" w:line="240" w:lineRule="auto"/>
              <w:jc w:val="center"/>
              <w:rPr>
                <w:rFonts w:eastAsia="Times New Roman"/>
                <w:b/>
                <w:bCs/>
                <w:lang w:eastAsia="hr-HR"/>
              </w:rPr>
            </w:pPr>
            <w:r>
              <w:rPr>
                <w:b/>
                <w:bCs/>
              </w:rPr>
              <w:t>15.611.774,91</w:t>
            </w:r>
          </w:p>
        </w:tc>
        <w:tc>
          <w:tcPr>
            <w:tcW w:w="1843" w:type="dxa"/>
            <w:tcBorders>
              <w:top w:val="nil"/>
              <w:left w:val="nil"/>
              <w:bottom w:val="single" w:sz="8" w:space="0" w:color="auto"/>
              <w:right w:val="single" w:sz="8" w:space="0" w:color="auto"/>
            </w:tcBorders>
            <w:shd w:val="clear" w:color="000000" w:fill="BFBFBF"/>
            <w:vAlign w:val="center"/>
          </w:tcPr>
          <w:p w14:paraId="6D7010D6" w14:textId="74A3707B" w:rsidR="00BB6DE8" w:rsidRPr="00C93820" w:rsidRDefault="00BB6DE8" w:rsidP="00BB6DE8">
            <w:pPr>
              <w:spacing w:after="0" w:line="240" w:lineRule="auto"/>
              <w:jc w:val="center"/>
              <w:rPr>
                <w:rFonts w:eastAsia="Times New Roman"/>
                <w:b/>
                <w:bCs/>
                <w:lang w:eastAsia="hr-HR"/>
              </w:rPr>
            </w:pPr>
            <w:r>
              <w:rPr>
                <w:b/>
                <w:bCs/>
              </w:rPr>
              <w:t>12.637.959,35</w:t>
            </w:r>
          </w:p>
        </w:tc>
        <w:tc>
          <w:tcPr>
            <w:tcW w:w="1843" w:type="dxa"/>
            <w:tcBorders>
              <w:top w:val="nil"/>
              <w:left w:val="nil"/>
              <w:bottom w:val="single" w:sz="8" w:space="0" w:color="auto"/>
              <w:right w:val="single" w:sz="8" w:space="0" w:color="auto"/>
            </w:tcBorders>
            <w:shd w:val="clear" w:color="000000" w:fill="BFBFBF"/>
            <w:vAlign w:val="center"/>
          </w:tcPr>
          <w:p w14:paraId="141362FA" w14:textId="3D1F1C0A" w:rsidR="00BB6DE8" w:rsidRPr="00C93820" w:rsidRDefault="00BB6DE8" w:rsidP="00BB6DE8">
            <w:pPr>
              <w:spacing w:after="0" w:line="240" w:lineRule="auto"/>
              <w:jc w:val="center"/>
              <w:rPr>
                <w:rFonts w:eastAsia="Times New Roman"/>
                <w:b/>
                <w:bCs/>
                <w:lang w:eastAsia="hr-HR"/>
              </w:rPr>
            </w:pPr>
            <w:bookmarkStart w:id="11" w:name="_Hlk214431678"/>
            <w:r>
              <w:rPr>
                <w:b/>
                <w:bCs/>
              </w:rPr>
              <w:t>28.249.734,26</w:t>
            </w:r>
            <w:bookmarkEnd w:id="11"/>
          </w:p>
        </w:tc>
      </w:tr>
    </w:tbl>
    <w:p w14:paraId="3E21F9C7" w14:textId="77777777" w:rsidR="00206877" w:rsidRDefault="00206877" w:rsidP="00BB6DE8">
      <w:pPr>
        <w:spacing w:before="240" w:after="60" w:line="240" w:lineRule="auto"/>
        <w:rPr>
          <w:b/>
          <w:bCs/>
        </w:rPr>
      </w:pPr>
    </w:p>
    <w:p w14:paraId="4F47D776" w14:textId="34F3A14B" w:rsidR="00D96BC8" w:rsidRPr="00174A96" w:rsidRDefault="008D1D1C" w:rsidP="00C06F7E">
      <w:pPr>
        <w:spacing w:before="240" w:after="60" w:line="240" w:lineRule="auto"/>
        <w:ind w:firstLine="709"/>
      </w:pPr>
      <w:r w:rsidRPr="00C93820">
        <w:rPr>
          <w:b/>
          <w:bCs/>
        </w:rPr>
        <w:t>Poglavlje</w:t>
      </w:r>
      <w:r w:rsidR="00B966A6" w:rsidRPr="00C93820">
        <w:rPr>
          <w:b/>
          <w:bCs/>
        </w:rPr>
        <w:t xml:space="preserve"> 2.</w:t>
      </w:r>
      <w:r w:rsidR="00DB48F3">
        <w:rPr>
          <w:b/>
          <w:bCs/>
        </w:rPr>
        <w:t>2.</w:t>
      </w:r>
      <w:r w:rsidR="00B966A6" w:rsidRPr="00C93820">
        <w:t xml:space="preserve"> ovoga Izvješća </w:t>
      </w:r>
      <w:r w:rsidRPr="00C93820">
        <w:t xml:space="preserve">sadrži </w:t>
      </w:r>
      <w:r w:rsidR="00D96BC8" w:rsidRPr="00C93820">
        <w:t xml:space="preserve">opis korištenja financijskih sredstava </w:t>
      </w:r>
      <w:r w:rsidR="00AC67D1" w:rsidRPr="00C93820">
        <w:t>dobivenih od</w:t>
      </w:r>
      <w:r w:rsidR="00AC67D1">
        <w:t xml:space="preserve"> prodaje emisijskih jedinica stakleničkih plinova putem dražbi </w:t>
      </w:r>
      <w:r w:rsidR="00D96BC8" w:rsidRPr="00174A96">
        <w:t>po projektima i po prioritetnim mjerama Plana</w:t>
      </w:r>
      <w:r w:rsidR="00206877">
        <w:t xml:space="preserve"> I</w:t>
      </w:r>
      <w:r w:rsidR="00730690">
        <w:t>.</w:t>
      </w:r>
      <w:r w:rsidR="00206877">
        <w:t xml:space="preserve"> </w:t>
      </w:r>
      <w:r w:rsidR="00AC67D1">
        <w:t xml:space="preserve"> u </w:t>
      </w:r>
      <w:r w:rsidR="00022437">
        <w:t>202</w:t>
      </w:r>
      <w:r w:rsidR="000E3B9A">
        <w:t>3</w:t>
      </w:r>
      <w:r w:rsidR="00022437">
        <w:t xml:space="preserve">. i </w:t>
      </w:r>
      <w:r w:rsidR="00AC67D1">
        <w:t>202</w:t>
      </w:r>
      <w:r w:rsidR="000E3B9A">
        <w:t>4</w:t>
      </w:r>
      <w:r w:rsidR="00AC67D1">
        <w:t>. godini</w:t>
      </w:r>
      <w:r w:rsidR="00D96BC8" w:rsidRPr="00174A96">
        <w:t>.</w:t>
      </w:r>
    </w:p>
    <w:p w14:paraId="1221BB9D" w14:textId="77777777" w:rsidR="00D96BC8" w:rsidRPr="00174A96" w:rsidRDefault="00D96BC8" w:rsidP="00D96BC8">
      <w:pPr>
        <w:spacing w:line="240" w:lineRule="auto"/>
      </w:pPr>
      <w:r w:rsidRPr="00174A96">
        <w:br w:type="page"/>
      </w:r>
    </w:p>
    <w:p w14:paraId="6C39A027" w14:textId="54272CDD" w:rsidR="00A709FD" w:rsidRDefault="00DF23D5" w:rsidP="00077A5D">
      <w:pPr>
        <w:pStyle w:val="Naslov2"/>
        <w:numPr>
          <w:ilvl w:val="1"/>
          <w:numId w:val="31"/>
        </w:numPr>
        <w:rPr>
          <w:rFonts w:ascii="Times New Roman" w:hAnsi="Times New Roman" w:cs="Times New Roman"/>
          <w:sz w:val="24"/>
          <w:szCs w:val="24"/>
        </w:rPr>
      </w:pPr>
      <w:bookmarkStart w:id="12" w:name="_Hlk216594168"/>
      <w:bookmarkStart w:id="13" w:name="_Toc226980223"/>
      <w:bookmarkStart w:id="14" w:name="_Toc481668211"/>
      <w:r>
        <w:rPr>
          <w:rFonts w:ascii="Times New Roman" w:hAnsi="Times New Roman" w:cs="Times New Roman"/>
          <w:sz w:val="24"/>
          <w:szCs w:val="24"/>
        </w:rPr>
        <w:lastRenderedPageBreak/>
        <w:t>O</w:t>
      </w:r>
      <w:r w:rsidRPr="00EF723B">
        <w:rPr>
          <w:rFonts w:ascii="Times New Roman" w:hAnsi="Times New Roman" w:cs="Times New Roman"/>
          <w:sz w:val="24"/>
          <w:szCs w:val="24"/>
        </w:rPr>
        <w:t xml:space="preserve">pis korištenja financijskih sredstava dobivenih od prodaje emisijskih jedinica stakleničkih plinova putem dražbi po projektima i po prioritetnim mjerama </w:t>
      </w:r>
      <w:bookmarkEnd w:id="12"/>
      <w:r>
        <w:rPr>
          <w:rFonts w:ascii="Times New Roman" w:hAnsi="Times New Roman" w:cs="Times New Roman"/>
          <w:sz w:val="24"/>
          <w:szCs w:val="24"/>
        </w:rPr>
        <w:t>P</w:t>
      </w:r>
      <w:r w:rsidRPr="00EF723B">
        <w:rPr>
          <w:rFonts w:ascii="Times New Roman" w:hAnsi="Times New Roman" w:cs="Times New Roman"/>
          <w:sz w:val="24"/>
          <w:szCs w:val="24"/>
        </w:rPr>
        <w:t xml:space="preserve">lana </w:t>
      </w:r>
      <w:r>
        <w:rPr>
          <w:rFonts w:ascii="Times New Roman" w:hAnsi="Times New Roman" w:cs="Times New Roman"/>
          <w:sz w:val="24"/>
          <w:szCs w:val="24"/>
        </w:rPr>
        <w:t>I</w:t>
      </w:r>
      <w:r w:rsidRPr="00EF723B">
        <w:rPr>
          <w:rFonts w:ascii="Times New Roman" w:hAnsi="Times New Roman" w:cs="Times New Roman"/>
          <w:sz w:val="24"/>
          <w:szCs w:val="24"/>
        </w:rPr>
        <w:t>.  u 2023. i 2024. godini</w:t>
      </w:r>
      <w:bookmarkEnd w:id="13"/>
    </w:p>
    <w:p w14:paraId="33248C4F" w14:textId="77777777" w:rsidR="006F4E0F" w:rsidRDefault="006F4E0F" w:rsidP="00EF723B"/>
    <w:p w14:paraId="6BC62D7E" w14:textId="4547F408" w:rsidR="00EF723B" w:rsidRPr="00EF723B" w:rsidRDefault="006F4E0F" w:rsidP="00EF723B">
      <w:r>
        <w:t>Ovo poglavlje</w:t>
      </w:r>
      <w:r w:rsidRPr="00C93820">
        <w:t xml:space="preserve"> sadrži opis korištenja financijskih sredstava dobivenih od</w:t>
      </w:r>
      <w:r>
        <w:t xml:space="preserve"> prodaje emisijskih jedinica stakleničkih plinova putem dražbi </w:t>
      </w:r>
      <w:r w:rsidRPr="00174A96">
        <w:t>po prioritetnim mjerama Plana</w:t>
      </w:r>
      <w:r>
        <w:t xml:space="preserve"> I. za koja su u 2023. i 2024. isplaćena sredstva. Prema prioritetnim mjerama naveden je opis, iznos i krajnji korisnici financiranih projekata.</w:t>
      </w:r>
    </w:p>
    <w:p w14:paraId="7221AFC0" w14:textId="17351E34" w:rsidR="0087063E" w:rsidRPr="0002206B" w:rsidRDefault="00A709FD" w:rsidP="00077A5D">
      <w:pPr>
        <w:pStyle w:val="Naslov2"/>
        <w:numPr>
          <w:ilvl w:val="2"/>
          <w:numId w:val="31"/>
        </w:numPr>
        <w:spacing w:before="120" w:after="120"/>
        <w:ind w:left="1418" w:hanging="851"/>
        <w:rPr>
          <w:rFonts w:ascii="Times New Roman" w:hAnsi="Times New Roman" w:cs="Times New Roman"/>
          <w:sz w:val="24"/>
          <w:szCs w:val="24"/>
        </w:rPr>
      </w:pPr>
      <w:bookmarkStart w:id="15" w:name="_Toc226980224"/>
      <w:r w:rsidRPr="0002206B">
        <w:rPr>
          <w:rFonts w:ascii="Times New Roman" w:hAnsi="Times New Roman" w:cs="Times New Roman"/>
          <w:sz w:val="24"/>
          <w:szCs w:val="24"/>
        </w:rPr>
        <w:t>Mjere korištenja obnovljivih izvora energije (OI)</w:t>
      </w:r>
      <w:bookmarkEnd w:id="15"/>
    </w:p>
    <w:p w14:paraId="05D80159" w14:textId="04E24612" w:rsidR="00287936" w:rsidRPr="000E3B9A" w:rsidRDefault="00287936" w:rsidP="00287936">
      <w:pPr>
        <w:spacing w:before="60" w:after="60"/>
        <w:ind w:firstLine="567"/>
        <w:rPr>
          <w:highlight w:val="yellow"/>
        </w:rPr>
      </w:pPr>
      <w:r w:rsidRPr="0002206B">
        <w:t xml:space="preserve">Navedena mjera će sukladno Integriranom nacionalnom energetskom i klimatskom planu za Republiku Hrvatsku za razdoblje od 2021. do 2030. doprinijeti povećanju proizvodnje energije i udjela obnovljivih izvora energije u bruto neposrednoj potrošnji energije te posljedično smanjiti emisije </w:t>
      </w:r>
      <w:r w:rsidRPr="0070139F">
        <w:t>stakleničkih plinova. Cilj za 2030. godinu je udio OIE u bruto neposrednoj potrošnji energije od 36,4</w:t>
      </w:r>
      <w:r w:rsidR="00D95D38">
        <w:t xml:space="preserve"> </w:t>
      </w:r>
      <w:r w:rsidRPr="0070139F">
        <w:t>%.</w:t>
      </w:r>
    </w:p>
    <w:p w14:paraId="4AB86DDA" w14:textId="3AD03E16" w:rsidR="00287936" w:rsidRPr="00E5188C" w:rsidRDefault="00287936" w:rsidP="00287936">
      <w:pPr>
        <w:spacing w:before="60" w:after="60"/>
        <w:ind w:firstLine="567"/>
      </w:pPr>
      <w:r w:rsidRPr="00E5188C">
        <w:t>Sukladno prioritetnoj mjeri korištenja obnovljivih izvora energije iz Plana, Fond je u 202</w:t>
      </w:r>
      <w:r w:rsidR="00E5188C" w:rsidRPr="00E5188C">
        <w:t>3</w:t>
      </w:r>
      <w:r w:rsidRPr="00E5188C">
        <w:t>.</w:t>
      </w:r>
      <w:r w:rsidR="00E5188C" w:rsidRPr="00E5188C">
        <w:t xml:space="preserve"> </w:t>
      </w:r>
      <w:r w:rsidRPr="00E5188C">
        <w:rPr>
          <w:lang w:eastAsia="hr-HR"/>
        </w:rPr>
        <w:t xml:space="preserve">poticao primjenu mrežnih i autonomnih fotonaponskih sustava manje priključne snage, sunčeve toplinske kolektore, kotlove na krutu biomasu i dizalice topline te isplatio sredstva u iznosu </w:t>
      </w:r>
      <w:r w:rsidRPr="00E5188C">
        <w:rPr>
          <w:bCs/>
          <w:lang w:eastAsia="hr-HR"/>
        </w:rPr>
        <w:t>od</w:t>
      </w:r>
      <w:r w:rsidRPr="00E5188C">
        <w:rPr>
          <w:b/>
          <w:lang w:eastAsia="hr-HR"/>
        </w:rPr>
        <w:t xml:space="preserve"> </w:t>
      </w:r>
      <w:r w:rsidR="00E5188C" w:rsidRPr="00E5188C">
        <w:rPr>
          <w:rFonts w:eastAsia="Times New Roman"/>
          <w:b/>
          <w:color w:val="000000"/>
          <w:lang w:eastAsia="hr-HR"/>
        </w:rPr>
        <w:t>175.480,86</w:t>
      </w:r>
      <w:r w:rsidRPr="00E5188C">
        <w:rPr>
          <w:rFonts w:eastAsia="Times New Roman"/>
          <w:b/>
          <w:color w:val="000000"/>
          <w:lang w:eastAsia="hr-HR"/>
        </w:rPr>
        <w:t xml:space="preserve"> </w:t>
      </w:r>
      <w:r w:rsidR="00E5188C" w:rsidRPr="00E5188C">
        <w:rPr>
          <w:rFonts w:eastAsia="Times New Roman"/>
          <w:b/>
          <w:color w:val="000000"/>
          <w:lang w:eastAsia="hr-HR"/>
        </w:rPr>
        <w:t>eura</w:t>
      </w:r>
      <w:r w:rsidRPr="00E5188C">
        <w:rPr>
          <w:rFonts w:eastAsia="Times New Roman"/>
          <w:color w:val="000000"/>
          <w:lang w:eastAsia="hr-HR"/>
        </w:rPr>
        <w:t xml:space="preserve"> za ukupno </w:t>
      </w:r>
      <w:r w:rsidRPr="00E5188C">
        <w:rPr>
          <w:rFonts w:eastAsia="Times New Roman"/>
          <w:b/>
          <w:color w:val="000000"/>
          <w:lang w:eastAsia="hr-HR"/>
        </w:rPr>
        <w:t>7</w:t>
      </w:r>
      <w:r w:rsidRPr="00E5188C">
        <w:rPr>
          <w:rFonts w:eastAsia="Times New Roman"/>
          <w:color w:val="000000"/>
          <w:lang w:eastAsia="hr-HR"/>
        </w:rPr>
        <w:t xml:space="preserve"> </w:t>
      </w:r>
      <w:r w:rsidRPr="00E5188C">
        <w:rPr>
          <w:rFonts w:eastAsia="Times New Roman"/>
          <w:b/>
          <w:bCs/>
          <w:color w:val="000000"/>
          <w:lang w:eastAsia="hr-HR"/>
        </w:rPr>
        <w:t>projek</w:t>
      </w:r>
      <w:r w:rsidR="00E5188C" w:rsidRPr="00E5188C">
        <w:rPr>
          <w:rFonts w:eastAsia="Times New Roman"/>
          <w:b/>
          <w:bCs/>
          <w:color w:val="000000"/>
          <w:lang w:eastAsia="hr-HR"/>
        </w:rPr>
        <w:t>a</w:t>
      </w:r>
      <w:r w:rsidRPr="00E5188C">
        <w:rPr>
          <w:rFonts w:eastAsia="Times New Roman"/>
          <w:b/>
          <w:bCs/>
          <w:color w:val="000000"/>
          <w:lang w:eastAsia="hr-HR"/>
        </w:rPr>
        <w:t xml:space="preserve">ta </w:t>
      </w:r>
      <w:r w:rsidRPr="00E5188C">
        <w:rPr>
          <w:rFonts w:eastAsia="Times New Roman"/>
          <w:color w:val="000000"/>
          <w:lang w:eastAsia="hr-HR"/>
        </w:rPr>
        <w:t>korištenja obnovljivih izvora energije.</w:t>
      </w:r>
    </w:p>
    <w:p w14:paraId="205B2FB6" w14:textId="77777777" w:rsidR="00287936" w:rsidRPr="00E5188C" w:rsidRDefault="00287936" w:rsidP="00287936">
      <w:pPr>
        <w:spacing w:before="60" w:after="60"/>
        <w:ind w:firstLine="567"/>
      </w:pPr>
      <w:r w:rsidRPr="00E5188C">
        <w:t>Riječ je o projektima gdje su korisnici bili:</w:t>
      </w:r>
    </w:p>
    <w:p w14:paraId="65421668" w14:textId="69A5866C" w:rsidR="00287936" w:rsidRPr="00E5188C" w:rsidRDefault="00287936" w:rsidP="00E5188C">
      <w:pPr>
        <w:pStyle w:val="Odlomakpopisa"/>
        <w:numPr>
          <w:ilvl w:val="0"/>
          <w:numId w:val="3"/>
        </w:numPr>
        <w:spacing w:before="60" w:after="60"/>
        <w:ind w:left="709" w:hanging="283"/>
      </w:pPr>
      <w:r w:rsidRPr="00E5188C">
        <w:t>fizičk</w:t>
      </w:r>
      <w:r w:rsidR="00D95D38">
        <w:t>e</w:t>
      </w:r>
      <w:r w:rsidRPr="00E5188C">
        <w:t xml:space="preserve"> osob</w:t>
      </w:r>
      <w:r w:rsidR="00D95D38">
        <w:t>e</w:t>
      </w:r>
      <w:r w:rsidRPr="00E5188C">
        <w:t xml:space="preserve"> (građani) </w:t>
      </w:r>
      <w:r w:rsidR="00E5188C" w:rsidRPr="00E5188C">
        <w:t>koj</w:t>
      </w:r>
      <w:r w:rsidR="00D95D38">
        <w:t>i</w:t>
      </w:r>
      <w:r w:rsidR="00E5188C" w:rsidRPr="00E5188C">
        <w:t>m</w:t>
      </w:r>
      <w:r w:rsidR="00D95D38">
        <w:t>a</w:t>
      </w:r>
      <w:r w:rsidR="00E5188C" w:rsidRPr="00E5188C">
        <w:t xml:space="preserve"> su sredstva odobrena za sunčan</w:t>
      </w:r>
      <w:r w:rsidR="00D95D38">
        <w:t>e</w:t>
      </w:r>
      <w:r w:rsidR="00E5188C" w:rsidRPr="00E5188C">
        <w:t xml:space="preserve"> toplinsk</w:t>
      </w:r>
      <w:r w:rsidR="00D95D38">
        <w:t>e</w:t>
      </w:r>
      <w:r w:rsidR="00E5188C" w:rsidRPr="00E5188C">
        <w:t xml:space="preserve"> pretvarač</w:t>
      </w:r>
      <w:r w:rsidR="00D95D38">
        <w:t>e</w:t>
      </w:r>
      <w:r w:rsidR="00E5188C" w:rsidRPr="00E5188C">
        <w:t xml:space="preserve"> za grijanje potrošne vode ili za grijanje potrošne vode i prostora na postojeć</w:t>
      </w:r>
      <w:r w:rsidR="00D95D38">
        <w:t>im</w:t>
      </w:r>
      <w:r w:rsidR="00E5188C" w:rsidRPr="00E5188C">
        <w:t xml:space="preserve"> obiteljsk</w:t>
      </w:r>
      <w:r w:rsidR="00D95D38">
        <w:t>im</w:t>
      </w:r>
      <w:r w:rsidR="00E5188C" w:rsidRPr="00E5188C">
        <w:t xml:space="preserve"> kuć</w:t>
      </w:r>
      <w:r w:rsidR="00D95D38">
        <w:t>ama</w:t>
      </w:r>
    </w:p>
    <w:p w14:paraId="336283F3" w14:textId="1B7B4678" w:rsidR="00287936" w:rsidRPr="006F4E0F" w:rsidRDefault="00287936" w:rsidP="00077A5D">
      <w:pPr>
        <w:pStyle w:val="Odlomakpopisa"/>
        <w:numPr>
          <w:ilvl w:val="1"/>
          <w:numId w:val="22"/>
        </w:numPr>
        <w:rPr>
          <w:u w:val="single"/>
        </w:rPr>
      </w:pPr>
      <w:r w:rsidRPr="006F4E0F">
        <w:rPr>
          <w:u w:val="single"/>
        </w:rPr>
        <w:t xml:space="preserve">ukupno je isplaćeno </w:t>
      </w:r>
      <w:r w:rsidR="00E5188C" w:rsidRPr="006F4E0F">
        <w:rPr>
          <w:b/>
          <w:bCs/>
          <w:u w:val="single"/>
        </w:rPr>
        <w:t>9.954,21</w:t>
      </w:r>
      <w:r w:rsidRPr="006F4E0F">
        <w:rPr>
          <w:u w:val="single"/>
        </w:rPr>
        <w:t xml:space="preserve"> </w:t>
      </w:r>
      <w:r w:rsidR="00E5188C" w:rsidRPr="006F4E0F">
        <w:rPr>
          <w:b/>
          <w:bCs/>
          <w:u w:val="single"/>
        </w:rPr>
        <w:t>eura</w:t>
      </w:r>
      <w:r w:rsidRPr="006F4E0F">
        <w:rPr>
          <w:u w:val="single"/>
        </w:rPr>
        <w:t xml:space="preserve"> za </w:t>
      </w:r>
      <w:r w:rsidRPr="006F4E0F">
        <w:rPr>
          <w:b/>
          <w:bCs/>
          <w:u w:val="single"/>
        </w:rPr>
        <w:t>1</w:t>
      </w:r>
      <w:r w:rsidRPr="006F4E0F">
        <w:rPr>
          <w:u w:val="single"/>
        </w:rPr>
        <w:t xml:space="preserve"> projekt</w:t>
      </w:r>
    </w:p>
    <w:p w14:paraId="4076B0E1" w14:textId="77777777" w:rsidR="00287936" w:rsidRPr="00E5188C" w:rsidRDefault="00287936" w:rsidP="00E5188C">
      <w:pPr>
        <w:pStyle w:val="Odlomakpopisa"/>
        <w:numPr>
          <w:ilvl w:val="0"/>
          <w:numId w:val="3"/>
        </w:numPr>
        <w:spacing w:before="60" w:after="60"/>
        <w:ind w:left="709" w:hanging="283"/>
      </w:pPr>
      <w:r w:rsidRPr="00E5188C">
        <w:t>javne ustanove koje su proračunski korisnici državnog ili JLP(R)S proračuna, a kojima su sredstva odobrena za ugradnju jednog ili više novih sustava za korištenje obnovljivih izvora energije:</w:t>
      </w:r>
    </w:p>
    <w:p w14:paraId="246C700C" w14:textId="77777777" w:rsidR="00287936" w:rsidRPr="00E5188C" w:rsidRDefault="00287936" w:rsidP="00077A5D">
      <w:pPr>
        <w:pStyle w:val="Odlomakpopisa"/>
        <w:numPr>
          <w:ilvl w:val="1"/>
          <w:numId w:val="23"/>
        </w:numPr>
        <w:spacing w:before="60" w:after="60"/>
        <w:ind w:left="1134"/>
      </w:pPr>
      <w:r w:rsidRPr="00E5188C">
        <w:t xml:space="preserve">s kotlom na drvnu sječku/pelete ili s </w:t>
      </w:r>
      <w:proofErr w:type="spellStart"/>
      <w:r w:rsidRPr="00E5188C">
        <w:t>pirolitičkim</w:t>
      </w:r>
      <w:proofErr w:type="spellEnd"/>
      <w:r w:rsidRPr="00E5188C">
        <w:t xml:space="preserve"> kotlom na drva za grijanje prostora ili prostora i potrošne vode</w:t>
      </w:r>
    </w:p>
    <w:p w14:paraId="6F133AB2" w14:textId="77777777" w:rsidR="00287936" w:rsidRPr="00E5188C" w:rsidRDefault="00287936" w:rsidP="00077A5D">
      <w:pPr>
        <w:pStyle w:val="Odlomakpopisa"/>
        <w:numPr>
          <w:ilvl w:val="1"/>
          <w:numId w:val="23"/>
        </w:numPr>
        <w:spacing w:before="60" w:after="60"/>
        <w:ind w:left="1134"/>
      </w:pPr>
      <w:r w:rsidRPr="00E5188C">
        <w:t>s dizalicom topline za grijanje potrošne vode i/ili prostora ili za grijanje i hlađenje</w:t>
      </w:r>
    </w:p>
    <w:p w14:paraId="4FBFC3A9" w14:textId="77777777" w:rsidR="00287936" w:rsidRPr="00E5188C" w:rsidRDefault="00287936" w:rsidP="00077A5D">
      <w:pPr>
        <w:pStyle w:val="Odlomakpopisa"/>
        <w:numPr>
          <w:ilvl w:val="1"/>
          <w:numId w:val="23"/>
        </w:numPr>
        <w:spacing w:before="60" w:after="60"/>
        <w:ind w:left="1134"/>
      </w:pPr>
      <w:r w:rsidRPr="00E5188C">
        <w:t>sa sunčanim toplinskim pretvaračima za grijanje potrošne vode ili za grijanje potrošne vode i prostora</w:t>
      </w:r>
    </w:p>
    <w:p w14:paraId="0AC2141F" w14:textId="77777777" w:rsidR="00287936" w:rsidRPr="00E5188C" w:rsidRDefault="00287936" w:rsidP="00077A5D">
      <w:pPr>
        <w:pStyle w:val="Odlomakpopisa"/>
        <w:numPr>
          <w:ilvl w:val="1"/>
          <w:numId w:val="23"/>
        </w:numPr>
        <w:spacing w:before="60" w:after="60"/>
        <w:ind w:left="1134"/>
      </w:pPr>
      <w:r w:rsidRPr="00E5188C">
        <w:t>s fotonaponskim pretvaračima (modulima) za proizvodnju električne energije za vlastite potrebe u samostalnom ili mrežnom radu</w:t>
      </w:r>
    </w:p>
    <w:p w14:paraId="2F18167B" w14:textId="7CDE02A3" w:rsidR="00D10876" w:rsidRPr="006F4E0F" w:rsidRDefault="00287936" w:rsidP="00077A5D">
      <w:pPr>
        <w:pStyle w:val="Odlomakpopisa"/>
        <w:numPr>
          <w:ilvl w:val="1"/>
          <w:numId w:val="22"/>
        </w:numPr>
        <w:spacing w:after="120" w:line="240" w:lineRule="auto"/>
        <w:contextualSpacing w:val="0"/>
        <w:rPr>
          <w:u w:val="single"/>
        </w:rPr>
      </w:pPr>
      <w:r w:rsidRPr="006F4E0F">
        <w:rPr>
          <w:u w:val="single"/>
        </w:rPr>
        <w:t xml:space="preserve">ukupno je isplaćeno </w:t>
      </w:r>
      <w:r w:rsidR="00E5188C" w:rsidRPr="006F4E0F">
        <w:rPr>
          <w:b/>
          <w:bCs/>
          <w:u w:val="single"/>
        </w:rPr>
        <w:t>165.526,65</w:t>
      </w:r>
      <w:r w:rsidRPr="006F4E0F">
        <w:rPr>
          <w:b/>
          <w:bCs/>
          <w:u w:val="single"/>
        </w:rPr>
        <w:t xml:space="preserve"> </w:t>
      </w:r>
      <w:r w:rsidR="00E5188C" w:rsidRPr="006F4E0F">
        <w:rPr>
          <w:b/>
          <w:bCs/>
          <w:u w:val="single"/>
        </w:rPr>
        <w:t>eura</w:t>
      </w:r>
      <w:r w:rsidRPr="006F4E0F">
        <w:rPr>
          <w:u w:val="single"/>
        </w:rPr>
        <w:t xml:space="preserve"> za </w:t>
      </w:r>
      <w:r w:rsidR="00E5188C" w:rsidRPr="006F4E0F">
        <w:rPr>
          <w:b/>
          <w:bCs/>
          <w:u w:val="single"/>
        </w:rPr>
        <w:t>6</w:t>
      </w:r>
      <w:r w:rsidRPr="006F4E0F">
        <w:rPr>
          <w:u w:val="single"/>
        </w:rPr>
        <w:t xml:space="preserve"> projek</w:t>
      </w:r>
      <w:r w:rsidR="00E5188C" w:rsidRPr="006F4E0F">
        <w:rPr>
          <w:u w:val="single"/>
        </w:rPr>
        <w:t>a</w:t>
      </w:r>
      <w:r w:rsidRPr="006F4E0F">
        <w:rPr>
          <w:u w:val="single"/>
        </w:rPr>
        <w:t>ta</w:t>
      </w:r>
    </w:p>
    <w:p w14:paraId="73B8DC1E" w14:textId="33565D17" w:rsidR="00D10876" w:rsidRPr="00007447" w:rsidRDefault="00D10876" w:rsidP="00D10876">
      <w:pPr>
        <w:pStyle w:val="Odlomakpopisa"/>
        <w:spacing w:after="360" w:line="240" w:lineRule="auto"/>
        <w:ind w:left="0" w:firstLine="567"/>
        <w:contextualSpacing w:val="0"/>
      </w:pPr>
      <w:r>
        <w:t>U 2024. nije bilo isplata po ovoj mjeri.</w:t>
      </w:r>
    </w:p>
    <w:p w14:paraId="4B88282C" w14:textId="5AFD3517" w:rsidR="0087063E" w:rsidRPr="00D27FB4" w:rsidRDefault="0087063E" w:rsidP="00077A5D">
      <w:pPr>
        <w:pStyle w:val="Naslov2"/>
        <w:numPr>
          <w:ilvl w:val="2"/>
          <w:numId w:val="31"/>
        </w:numPr>
        <w:spacing w:before="120" w:after="120"/>
        <w:ind w:left="1418" w:hanging="851"/>
        <w:rPr>
          <w:rFonts w:ascii="Times New Roman" w:hAnsi="Times New Roman" w:cs="Times New Roman"/>
          <w:sz w:val="24"/>
          <w:szCs w:val="24"/>
        </w:rPr>
      </w:pPr>
      <w:bookmarkStart w:id="16" w:name="_Toc226980225"/>
      <w:r w:rsidRPr="00D27FB4">
        <w:rPr>
          <w:rFonts w:ascii="Times New Roman" w:hAnsi="Times New Roman" w:cs="Times New Roman"/>
          <w:sz w:val="24"/>
          <w:szCs w:val="24"/>
        </w:rPr>
        <w:t>Povećanje energetske učinkovitosti (ENU)</w:t>
      </w:r>
      <w:bookmarkEnd w:id="16"/>
    </w:p>
    <w:p w14:paraId="2C430EC9" w14:textId="1FD9D3DF" w:rsidR="00287936" w:rsidRPr="00D27FB4" w:rsidRDefault="00287936" w:rsidP="00287936">
      <w:pPr>
        <w:spacing w:before="60" w:after="60"/>
        <w:ind w:firstLine="567"/>
      </w:pPr>
      <w:r w:rsidRPr="00D27FB4">
        <w:t xml:space="preserve">Energetska učinkovitost </w:t>
      </w:r>
      <w:r w:rsidR="009A5B1E">
        <w:t xml:space="preserve">je </w:t>
      </w:r>
      <w:r w:rsidRPr="00D27FB4">
        <w:t xml:space="preserve">najdjelotvorniji način postizanja ciljeva održivog razvoja, s obzirom da veća učinkovitost doprinosi smanjenju emisija štetnih plinova u okoliš, većoj industrijskoj konkurentnosti, otvaranju novih radnih mjesta i povećanju sigurnosti opskrbe </w:t>
      </w:r>
      <w:r w:rsidRPr="00D27FB4">
        <w:lastRenderedPageBreak/>
        <w:t>energijom. Upravo je zbog toga E</w:t>
      </w:r>
      <w:r w:rsidR="009A5B1E">
        <w:t>N</w:t>
      </w:r>
      <w:r w:rsidRPr="00D27FB4">
        <w:t>U okosnica jedinstvene energetske politike Europske unije (EU).</w:t>
      </w:r>
    </w:p>
    <w:p w14:paraId="239B01D3" w14:textId="095859A6" w:rsidR="00287936" w:rsidRPr="00AA1823" w:rsidRDefault="00287936" w:rsidP="00287936">
      <w:pPr>
        <w:spacing w:before="60" w:after="60"/>
        <w:ind w:firstLine="567"/>
        <w:rPr>
          <w:lang w:eastAsia="hr-HR"/>
        </w:rPr>
      </w:pPr>
      <w:r w:rsidRPr="00AA1823">
        <w:t>Sukladno prioritetnoj mjeri za povećanje energetske učinkovitosti iz Plana</w:t>
      </w:r>
      <w:r w:rsidR="00C92D2C">
        <w:t xml:space="preserve"> I</w:t>
      </w:r>
      <w:r w:rsidRPr="00AA1823">
        <w:t xml:space="preserve">, Fond je </w:t>
      </w:r>
      <w:r w:rsidR="00C92D2C" w:rsidRPr="00AA1823">
        <w:t>u 2023. i 2024.</w:t>
      </w:r>
      <w:r w:rsidR="00C92D2C">
        <w:t xml:space="preserve"> </w:t>
      </w:r>
      <w:r w:rsidR="00C92D2C" w:rsidRPr="00207C3D">
        <w:rPr>
          <w:lang w:eastAsia="hr-HR"/>
        </w:rPr>
        <w:t>provodio</w:t>
      </w:r>
      <w:r w:rsidR="00C92D2C" w:rsidRPr="00207C3D">
        <w:t xml:space="preserve"> </w:t>
      </w:r>
      <w:r w:rsidR="00C92D2C" w:rsidRPr="00207C3D">
        <w:rPr>
          <w:lang w:eastAsia="hr-HR"/>
        </w:rPr>
        <w:t>mjere energetske obnove u postojećim obiteljskim kućama i poticao nabavu kondenzacijskih bojlera</w:t>
      </w:r>
      <w:r w:rsidR="00C92D2C">
        <w:rPr>
          <w:lang w:eastAsia="hr-HR"/>
        </w:rPr>
        <w:t xml:space="preserve"> </w:t>
      </w:r>
      <w:r w:rsidRPr="00AA1823">
        <w:rPr>
          <w:lang w:eastAsia="hr-HR"/>
        </w:rPr>
        <w:t>temeljem:</w:t>
      </w:r>
    </w:p>
    <w:p w14:paraId="0CA1B61A" w14:textId="0FBDD6F7" w:rsidR="00287936" w:rsidRPr="00BB03BC" w:rsidRDefault="00287936" w:rsidP="00721EED">
      <w:pPr>
        <w:pStyle w:val="Odlomakpopisa"/>
        <w:numPr>
          <w:ilvl w:val="0"/>
          <w:numId w:val="3"/>
        </w:numPr>
        <w:spacing w:before="60" w:after="60"/>
        <w:ind w:left="723"/>
      </w:pPr>
      <w:r w:rsidRPr="009A5B1E">
        <w:rPr>
          <w:i/>
          <w:iCs/>
        </w:rPr>
        <w:t>Izmjena i dopuna Programa energetske obnove obiteljskih kuća za razdoblje od 2014.-2020.</w:t>
      </w:r>
      <w:r w:rsidRPr="00BB03BC">
        <w:t xml:space="preserve"> (</w:t>
      </w:r>
      <w:r w:rsidR="009A5B1E">
        <w:t>''</w:t>
      </w:r>
      <w:r w:rsidRPr="00BB03BC">
        <w:t>Narodne novine</w:t>
      </w:r>
      <w:r w:rsidR="009A5B1E">
        <w:t>'', broj</w:t>
      </w:r>
      <w:r w:rsidRPr="00BB03BC">
        <w:t xml:space="preserve"> 57/2020) koje je donijela Vlada RH</w:t>
      </w:r>
    </w:p>
    <w:p w14:paraId="32D3AAA2" w14:textId="49035781" w:rsidR="00287936" w:rsidRPr="006A174C" w:rsidRDefault="00287936" w:rsidP="00721EED">
      <w:pPr>
        <w:pStyle w:val="Odlomakpopisa"/>
        <w:numPr>
          <w:ilvl w:val="0"/>
          <w:numId w:val="3"/>
        </w:numPr>
        <w:spacing w:before="60" w:after="60"/>
        <w:ind w:left="723"/>
      </w:pPr>
      <w:r w:rsidRPr="00A56A86">
        <w:rPr>
          <w:i/>
          <w:iCs/>
        </w:rPr>
        <w:t>Odluke o osiguranju novčane pomoći za privremenu i nužnu zaštitu i popravak zgrada oštećenih potresom na području Grada Zagreba i okolice</w:t>
      </w:r>
      <w:r w:rsidRPr="006A174C">
        <w:t xml:space="preserve"> (</w:t>
      </w:r>
      <w:r w:rsidR="00A56A86">
        <w:t>''</w:t>
      </w:r>
      <w:r w:rsidRPr="006A174C">
        <w:t>Narodne novine</w:t>
      </w:r>
      <w:r w:rsidR="00A56A86">
        <w:t>'', broj</w:t>
      </w:r>
      <w:r w:rsidRPr="006A174C">
        <w:t xml:space="preserve"> 55/2020) koju je donijela Vlada RH</w:t>
      </w:r>
    </w:p>
    <w:p w14:paraId="7D45E29D" w14:textId="1C5C6224" w:rsidR="00287936" w:rsidRPr="000E3B9A" w:rsidRDefault="00C92D2C" w:rsidP="00C92D2C">
      <w:pPr>
        <w:spacing w:before="60" w:after="60"/>
        <w:ind w:firstLine="363"/>
        <w:rPr>
          <w:highlight w:val="yellow"/>
          <w:lang w:eastAsia="hr-HR"/>
        </w:rPr>
      </w:pPr>
      <w:r>
        <w:rPr>
          <w:lang w:eastAsia="hr-HR"/>
        </w:rPr>
        <w:t xml:space="preserve">U sklopu ove prioritetne mjere, </w:t>
      </w:r>
      <w:r w:rsidR="00287936" w:rsidRPr="00207C3D">
        <w:rPr>
          <w:lang w:eastAsia="hr-HR"/>
        </w:rPr>
        <w:t xml:space="preserve">poticala </w:t>
      </w:r>
      <w:r>
        <w:rPr>
          <w:lang w:eastAsia="hr-HR"/>
        </w:rPr>
        <w:t xml:space="preserve">se i </w:t>
      </w:r>
      <w:r w:rsidR="00287936" w:rsidRPr="00207C3D">
        <w:rPr>
          <w:lang w:eastAsia="hr-HR"/>
        </w:rPr>
        <w:t>energetska obnova zgrada sa svojstvom kulturnog dobra</w:t>
      </w:r>
      <w:r w:rsidR="00207C3D">
        <w:rPr>
          <w:lang w:eastAsia="hr-HR"/>
        </w:rPr>
        <w:t>.</w:t>
      </w:r>
    </w:p>
    <w:p w14:paraId="7D139219" w14:textId="5C937895" w:rsidR="00287936" w:rsidRPr="005A20BF" w:rsidRDefault="00287936" w:rsidP="00287936">
      <w:pPr>
        <w:spacing w:before="60" w:after="60"/>
        <w:ind w:firstLine="567"/>
        <w:rPr>
          <w:rFonts w:eastAsia="Times New Roman"/>
          <w:color w:val="000000"/>
          <w:lang w:eastAsia="hr-HR"/>
        </w:rPr>
      </w:pPr>
      <w:r w:rsidRPr="005A20BF">
        <w:rPr>
          <w:lang w:eastAsia="hr-HR"/>
        </w:rPr>
        <w:t>Isplaćena su sredstva u iznosu</w:t>
      </w:r>
      <w:r w:rsidRPr="005A20BF">
        <w:rPr>
          <w:bCs/>
          <w:lang w:eastAsia="hr-HR"/>
        </w:rPr>
        <w:t xml:space="preserve"> od</w:t>
      </w:r>
      <w:r w:rsidRPr="005A20BF">
        <w:rPr>
          <w:b/>
          <w:lang w:eastAsia="hr-HR"/>
        </w:rPr>
        <w:t xml:space="preserve"> </w:t>
      </w:r>
      <w:r w:rsidR="005A20BF" w:rsidRPr="005A20BF">
        <w:rPr>
          <w:rFonts w:eastAsia="Times New Roman"/>
          <w:b/>
          <w:color w:val="000000"/>
          <w:lang w:eastAsia="hr-HR"/>
        </w:rPr>
        <w:t>2.935.7</w:t>
      </w:r>
      <w:r w:rsidR="00E46484">
        <w:rPr>
          <w:rFonts w:eastAsia="Times New Roman"/>
          <w:b/>
          <w:color w:val="000000"/>
          <w:lang w:eastAsia="hr-HR"/>
        </w:rPr>
        <w:t>4</w:t>
      </w:r>
      <w:r w:rsidR="005A20BF" w:rsidRPr="005A20BF">
        <w:rPr>
          <w:rFonts w:eastAsia="Times New Roman"/>
          <w:b/>
          <w:color w:val="000000"/>
          <w:lang w:eastAsia="hr-HR"/>
        </w:rPr>
        <w:t>6,16</w:t>
      </w:r>
      <w:r w:rsidRPr="005A20BF">
        <w:rPr>
          <w:rFonts w:eastAsia="Times New Roman"/>
          <w:b/>
          <w:color w:val="000000"/>
          <w:lang w:eastAsia="hr-HR"/>
        </w:rPr>
        <w:t xml:space="preserve"> </w:t>
      </w:r>
      <w:r w:rsidR="005A20BF" w:rsidRPr="005A20BF">
        <w:rPr>
          <w:rFonts w:eastAsia="Times New Roman"/>
          <w:b/>
          <w:color w:val="000000"/>
          <w:lang w:eastAsia="hr-HR"/>
        </w:rPr>
        <w:t>eura</w:t>
      </w:r>
      <w:r w:rsidRPr="005A20BF">
        <w:rPr>
          <w:rFonts w:eastAsia="Times New Roman"/>
          <w:color w:val="000000"/>
          <w:lang w:eastAsia="hr-HR"/>
        </w:rPr>
        <w:t xml:space="preserve"> za ukupno </w:t>
      </w:r>
      <w:r w:rsidR="005A20BF" w:rsidRPr="005A20BF">
        <w:rPr>
          <w:rFonts w:eastAsia="Times New Roman"/>
          <w:b/>
          <w:bCs/>
          <w:color w:val="000000"/>
          <w:lang w:eastAsia="hr-HR"/>
        </w:rPr>
        <w:t>369</w:t>
      </w:r>
      <w:r w:rsidRPr="005A20BF">
        <w:rPr>
          <w:rFonts w:eastAsia="Times New Roman"/>
          <w:color w:val="000000"/>
          <w:lang w:eastAsia="hr-HR"/>
        </w:rPr>
        <w:t xml:space="preserve"> </w:t>
      </w:r>
      <w:r w:rsidRPr="005A20BF">
        <w:rPr>
          <w:rFonts w:eastAsia="Times New Roman"/>
          <w:b/>
          <w:bCs/>
          <w:color w:val="000000"/>
          <w:lang w:eastAsia="hr-HR"/>
        </w:rPr>
        <w:t xml:space="preserve">projekata </w:t>
      </w:r>
      <w:r w:rsidRPr="005A20BF">
        <w:rPr>
          <w:rFonts w:eastAsia="Times New Roman"/>
          <w:color w:val="000000"/>
          <w:lang w:eastAsia="hr-HR"/>
        </w:rPr>
        <w:t>povećanja energetske učinkovitosti.</w:t>
      </w:r>
    </w:p>
    <w:p w14:paraId="72D8CD07" w14:textId="77777777" w:rsidR="00287936" w:rsidRPr="005A20BF" w:rsidRDefault="00287936" w:rsidP="00287936">
      <w:pPr>
        <w:spacing w:before="60" w:after="60"/>
        <w:ind w:firstLine="567"/>
        <w:rPr>
          <w:rFonts w:eastAsia="Times New Roman"/>
          <w:color w:val="000000"/>
          <w:lang w:eastAsia="hr-HR"/>
        </w:rPr>
      </w:pPr>
      <w:r w:rsidRPr="005A20BF">
        <w:rPr>
          <w:rFonts w:eastAsia="Times New Roman"/>
          <w:color w:val="000000"/>
          <w:lang w:eastAsia="hr-HR"/>
        </w:rPr>
        <w:t>Riječ je sljedećim projektima:</w:t>
      </w:r>
    </w:p>
    <w:p w14:paraId="023E80CE" w14:textId="77777777" w:rsidR="00287936" w:rsidRPr="005A20BF" w:rsidRDefault="00287936" w:rsidP="003A1CB7">
      <w:pPr>
        <w:pStyle w:val="Odlomakpopisa"/>
        <w:numPr>
          <w:ilvl w:val="0"/>
          <w:numId w:val="4"/>
        </w:numPr>
        <w:spacing w:before="60" w:after="60"/>
        <w:ind w:left="723"/>
        <w:rPr>
          <w:rFonts w:eastAsia="Times New Roman"/>
          <w:color w:val="000000"/>
          <w:lang w:eastAsia="hr-HR"/>
        </w:rPr>
      </w:pPr>
      <w:r w:rsidRPr="005A20BF">
        <w:rPr>
          <w:rFonts w:eastAsia="Times New Roman"/>
          <w:color w:val="000000"/>
          <w:lang w:eastAsia="hr-HR"/>
        </w:rPr>
        <w:t>obnova obiteljskih kuća</w:t>
      </w:r>
    </w:p>
    <w:p w14:paraId="32E00AAC" w14:textId="76977D5D" w:rsidR="00287936" w:rsidRPr="00C92D2C" w:rsidRDefault="00287936" w:rsidP="00077A5D">
      <w:pPr>
        <w:pStyle w:val="Odlomakpopisa"/>
        <w:numPr>
          <w:ilvl w:val="1"/>
          <w:numId w:val="24"/>
        </w:numPr>
        <w:spacing w:before="60" w:after="60"/>
        <w:rPr>
          <w:rFonts w:eastAsia="Times New Roman"/>
          <w:color w:val="000000"/>
          <w:u w:val="single"/>
          <w:lang w:eastAsia="hr-HR"/>
        </w:rPr>
      </w:pPr>
      <w:r w:rsidRPr="00C92D2C">
        <w:rPr>
          <w:rFonts w:eastAsia="Times New Roman"/>
          <w:color w:val="000000"/>
          <w:u w:val="single"/>
          <w:lang w:eastAsia="hr-HR"/>
        </w:rPr>
        <w:t xml:space="preserve">ukupno je isplaćeno </w:t>
      </w:r>
      <w:r w:rsidR="005A20BF" w:rsidRPr="00C92D2C">
        <w:rPr>
          <w:rFonts w:eastAsia="Times New Roman"/>
          <w:b/>
          <w:bCs/>
          <w:color w:val="000000"/>
          <w:u w:val="single"/>
          <w:lang w:eastAsia="hr-HR"/>
        </w:rPr>
        <w:t>2.584.471,67</w:t>
      </w:r>
      <w:r w:rsidRPr="00C92D2C">
        <w:rPr>
          <w:rFonts w:eastAsia="Times New Roman"/>
          <w:b/>
          <w:bCs/>
          <w:color w:val="000000"/>
          <w:u w:val="single"/>
          <w:lang w:eastAsia="hr-HR"/>
        </w:rPr>
        <w:t xml:space="preserve"> </w:t>
      </w:r>
      <w:r w:rsidR="005A20BF" w:rsidRPr="00C92D2C">
        <w:rPr>
          <w:rFonts w:eastAsia="Times New Roman"/>
          <w:b/>
          <w:bCs/>
          <w:color w:val="000000"/>
          <w:u w:val="single"/>
          <w:lang w:eastAsia="hr-HR"/>
        </w:rPr>
        <w:t>eura</w:t>
      </w:r>
      <w:r w:rsidRPr="00C92D2C">
        <w:rPr>
          <w:rFonts w:eastAsia="Times New Roman"/>
          <w:color w:val="000000"/>
          <w:u w:val="single"/>
          <w:lang w:eastAsia="hr-HR"/>
        </w:rPr>
        <w:t xml:space="preserve"> za </w:t>
      </w:r>
      <w:r w:rsidR="005A20BF" w:rsidRPr="00C92D2C">
        <w:rPr>
          <w:rFonts w:eastAsia="Times New Roman"/>
          <w:b/>
          <w:bCs/>
          <w:color w:val="000000"/>
          <w:u w:val="single"/>
          <w:lang w:eastAsia="hr-HR"/>
        </w:rPr>
        <w:t>255</w:t>
      </w:r>
      <w:r w:rsidRPr="00C92D2C">
        <w:rPr>
          <w:rFonts w:eastAsia="Times New Roman"/>
          <w:color w:val="000000"/>
          <w:u w:val="single"/>
          <w:lang w:eastAsia="hr-HR"/>
        </w:rPr>
        <w:t xml:space="preserve"> projekata</w:t>
      </w:r>
    </w:p>
    <w:p w14:paraId="580625ED" w14:textId="77777777" w:rsidR="00287936" w:rsidRPr="005A20BF" w:rsidRDefault="00287936" w:rsidP="003A1CB7">
      <w:pPr>
        <w:pStyle w:val="Odlomakpopisa"/>
        <w:numPr>
          <w:ilvl w:val="0"/>
          <w:numId w:val="4"/>
        </w:numPr>
        <w:spacing w:before="60" w:after="60"/>
        <w:ind w:left="723"/>
        <w:rPr>
          <w:rFonts w:eastAsia="Times New Roman"/>
          <w:color w:val="000000"/>
          <w:lang w:eastAsia="hr-HR"/>
        </w:rPr>
      </w:pPr>
      <w:r w:rsidRPr="005A20BF">
        <w:rPr>
          <w:rFonts w:eastAsia="Times New Roman"/>
          <w:color w:val="000000"/>
          <w:lang w:eastAsia="hr-HR"/>
        </w:rPr>
        <w:t>kupnja kondenzacijskih bojlera kojim se zamjenjuju postojeći bojleri koji nisu kondenzacijski</w:t>
      </w:r>
    </w:p>
    <w:p w14:paraId="7EE9E3D7" w14:textId="3A7BEE30" w:rsidR="00287936" w:rsidRPr="00C92D2C" w:rsidRDefault="00287936" w:rsidP="00077A5D">
      <w:pPr>
        <w:pStyle w:val="Odlomakpopisa"/>
        <w:numPr>
          <w:ilvl w:val="1"/>
          <w:numId w:val="24"/>
        </w:numPr>
        <w:spacing w:before="60" w:after="60"/>
        <w:rPr>
          <w:rFonts w:eastAsia="Times New Roman"/>
          <w:color w:val="000000"/>
          <w:u w:val="single"/>
          <w:lang w:eastAsia="hr-HR"/>
        </w:rPr>
      </w:pPr>
      <w:r w:rsidRPr="00C92D2C">
        <w:rPr>
          <w:rFonts w:eastAsia="Times New Roman"/>
          <w:color w:val="000000"/>
          <w:u w:val="single"/>
          <w:lang w:eastAsia="hr-HR"/>
        </w:rPr>
        <w:t xml:space="preserve">ukupno je isplaćeno </w:t>
      </w:r>
      <w:r w:rsidR="005A20BF" w:rsidRPr="00C92D2C">
        <w:rPr>
          <w:rFonts w:eastAsia="Times New Roman"/>
          <w:b/>
          <w:bCs/>
          <w:color w:val="000000"/>
          <w:u w:val="single"/>
          <w:lang w:eastAsia="hr-HR"/>
        </w:rPr>
        <w:t>114.668,96</w:t>
      </w:r>
      <w:r w:rsidRPr="00C92D2C">
        <w:rPr>
          <w:rFonts w:eastAsia="Times New Roman"/>
          <w:b/>
          <w:bCs/>
          <w:color w:val="000000"/>
          <w:u w:val="single"/>
          <w:lang w:eastAsia="hr-HR"/>
        </w:rPr>
        <w:t xml:space="preserve"> </w:t>
      </w:r>
      <w:r w:rsidR="005A20BF" w:rsidRPr="00C92D2C">
        <w:rPr>
          <w:rFonts w:eastAsia="Times New Roman"/>
          <w:b/>
          <w:bCs/>
          <w:color w:val="000000"/>
          <w:u w:val="single"/>
          <w:lang w:eastAsia="hr-HR"/>
        </w:rPr>
        <w:t>eura</w:t>
      </w:r>
      <w:r w:rsidRPr="00C92D2C">
        <w:rPr>
          <w:rFonts w:eastAsia="Times New Roman"/>
          <w:color w:val="000000"/>
          <w:u w:val="single"/>
          <w:lang w:eastAsia="hr-HR"/>
        </w:rPr>
        <w:t xml:space="preserve"> za </w:t>
      </w:r>
      <w:r w:rsidR="005A20BF" w:rsidRPr="00C92D2C">
        <w:rPr>
          <w:rFonts w:eastAsia="Times New Roman"/>
          <w:b/>
          <w:bCs/>
          <w:color w:val="000000"/>
          <w:u w:val="single"/>
          <w:lang w:eastAsia="hr-HR"/>
        </w:rPr>
        <w:t>112</w:t>
      </w:r>
      <w:r w:rsidRPr="00C92D2C">
        <w:rPr>
          <w:rFonts w:eastAsia="Times New Roman"/>
          <w:color w:val="000000"/>
          <w:u w:val="single"/>
          <w:lang w:eastAsia="hr-HR"/>
        </w:rPr>
        <w:t xml:space="preserve"> projekata</w:t>
      </w:r>
    </w:p>
    <w:p w14:paraId="6DD69AC6" w14:textId="77777777" w:rsidR="00287936" w:rsidRPr="00B30E7E" w:rsidRDefault="00287936" w:rsidP="003A1CB7">
      <w:pPr>
        <w:pStyle w:val="Odlomakpopisa"/>
        <w:numPr>
          <w:ilvl w:val="0"/>
          <w:numId w:val="4"/>
        </w:numPr>
        <w:spacing w:before="60" w:after="60"/>
        <w:ind w:left="723"/>
        <w:rPr>
          <w:rFonts w:eastAsia="Times New Roman"/>
          <w:color w:val="000000"/>
          <w:lang w:eastAsia="hr-HR"/>
        </w:rPr>
      </w:pPr>
      <w:r w:rsidRPr="00B30E7E">
        <w:rPr>
          <w:rFonts w:eastAsia="Times New Roman"/>
          <w:color w:val="000000"/>
          <w:lang w:eastAsia="hr-HR"/>
        </w:rPr>
        <w:t>energetska obnova zgrada sa svojstvom kulturnog dobra</w:t>
      </w:r>
    </w:p>
    <w:p w14:paraId="7E591FAF" w14:textId="5585C69D" w:rsidR="0087063E" w:rsidRPr="00C92D2C" w:rsidRDefault="00287936" w:rsidP="00077A5D">
      <w:pPr>
        <w:pStyle w:val="Odlomakpopisa"/>
        <w:numPr>
          <w:ilvl w:val="1"/>
          <w:numId w:val="24"/>
        </w:numPr>
        <w:spacing w:after="360" w:line="240" w:lineRule="auto"/>
        <w:contextualSpacing w:val="0"/>
        <w:rPr>
          <w:rFonts w:eastAsia="Times New Roman"/>
          <w:color w:val="000000"/>
          <w:u w:val="single"/>
          <w:lang w:eastAsia="hr-HR"/>
        </w:rPr>
      </w:pPr>
      <w:r w:rsidRPr="00C92D2C">
        <w:rPr>
          <w:rFonts w:eastAsia="Times New Roman"/>
          <w:color w:val="000000"/>
          <w:u w:val="single"/>
          <w:lang w:eastAsia="hr-HR"/>
        </w:rPr>
        <w:t xml:space="preserve">ukupno je isplaćeno </w:t>
      </w:r>
      <w:r w:rsidR="00B30E7E" w:rsidRPr="00C92D2C">
        <w:rPr>
          <w:rFonts w:eastAsia="Times New Roman"/>
          <w:b/>
          <w:bCs/>
          <w:color w:val="000000"/>
          <w:u w:val="single"/>
          <w:lang w:eastAsia="hr-HR"/>
        </w:rPr>
        <w:t>236.605,53</w:t>
      </w:r>
      <w:r w:rsidRPr="00C92D2C">
        <w:rPr>
          <w:rFonts w:eastAsia="Times New Roman"/>
          <w:b/>
          <w:bCs/>
          <w:color w:val="000000"/>
          <w:u w:val="single"/>
          <w:lang w:eastAsia="hr-HR"/>
        </w:rPr>
        <w:t xml:space="preserve"> </w:t>
      </w:r>
      <w:r w:rsidR="00B30E7E" w:rsidRPr="00C92D2C">
        <w:rPr>
          <w:rFonts w:eastAsia="Times New Roman"/>
          <w:b/>
          <w:bCs/>
          <w:color w:val="000000"/>
          <w:u w:val="single"/>
          <w:lang w:eastAsia="hr-HR"/>
        </w:rPr>
        <w:t>eura</w:t>
      </w:r>
      <w:r w:rsidRPr="00C92D2C">
        <w:rPr>
          <w:rFonts w:eastAsia="Times New Roman"/>
          <w:color w:val="000000"/>
          <w:u w:val="single"/>
          <w:lang w:eastAsia="hr-HR"/>
        </w:rPr>
        <w:t xml:space="preserve"> za </w:t>
      </w:r>
      <w:r w:rsidR="00B30E7E" w:rsidRPr="00C92D2C">
        <w:rPr>
          <w:rFonts w:eastAsia="Times New Roman"/>
          <w:b/>
          <w:bCs/>
          <w:color w:val="000000"/>
          <w:u w:val="single"/>
          <w:lang w:eastAsia="hr-HR"/>
        </w:rPr>
        <w:t>2</w:t>
      </w:r>
      <w:r w:rsidRPr="00C92D2C">
        <w:rPr>
          <w:rFonts w:eastAsia="Times New Roman"/>
          <w:color w:val="000000"/>
          <w:u w:val="single"/>
          <w:lang w:eastAsia="hr-HR"/>
        </w:rPr>
        <w:t xml:space="preserve"> projekta</w:t>
      </w:r>
    </w:p>
    <w:p w14:paraId="3CCA8AE3" w14:textId="5533CA72" w:rsidR="0087063E" w:rsidRPr="00075CB7" w:rsidRDefault="0087063E" w:rsidP="00077A5D">
      <w:pPr>
        <w:pStyle w:val="Naslov2"/>
        <w:numPr>
          <w:ilvl w:val="2"/>
          <w:numId w:val="31"/>
        </w:numPr>
        <w:spacing w:before="120" w:after="120"/>
        <w:ind w:left="1418" w:hanging="851"/>
        <w:rPr>
          <w:rFonts w:ascii="Times New Roman" w:hAnsi="Times New Roman" w:cs="Times New Roman"/>
          <w:sz w:val="24"/>
          <w:szCs w:val="24"/>
        </w:rPr>
      </w:pPr>
      <w:bookmarkStart w:id="17" w:name="_Toc226980226"/>
      <w:r w:rsidRPr="00075CB7">
        <w:rPr>
          <w:rFonts w:ascii="Times New Roman" w:hAnsi="Times New Roman" w:cs="Times New Roman"/>
          <w:sz w:val="24"/>
          <w:szCs w:val="24"/>
        </w:rPr>
        <w:t>Energetsko siromaštvo (ENS)</w:t>
      </w:r>
      <w:bookmarkEnd w:id="17"/>
    </w:p>
    <w:p w14:paraId="5EC1F8E8" w14:textId="2F8F998F" w:rsidR="00287936" w:rsidRPr="00075CB7" w:rsidRDefault="00287936" w:rsidP="00287936">
      <w:pPr>
        <w:spacing w:before="60" w:after="60"/>
        <w:ind w:firstLine="567"/>
      </w:pPr>
      <w:r w:rsidRPr="00075CB7">
        <w:t>Specifični cilj navedene mjere je uspostava sustava kojim bi se ugroženim kupcima energije odnosno ranjivim skupinama građana omogućilo povećanj</w:t>
      </w:r>
      <w:r w:rsidR="00DC1691">
        <w:t>e</w:t>
      </w:r>
      <w:r w:rsidRPr="00075CB7">
        <w:t xml:space="preserve"> energetske učinkovitosti na razini kućanstva uz istovremeno poboljšanje uvjeta stanovanja.</w:t>
      </w:r>
    </w:p>
    <w:p w14:paraId="0072ABE4" w14:textId="4226DE67" w:rsidR="00287936" w:rsidRPr="00DC1691" w:rsidRDefault="00287936" w:rsidP="00DC1691">
      <w:pPr>
        <w:spacing w:before="60" w:after="60"/>
        <w:ind w:firstLine="567"/>
        <w:rPr>
          <w:lang w:eastAsia="hr-HR"/>
        </w:rPr>
      </w:pPr>
      <w:r w:rsidRPr="00075CB7">
        <w:t>Sukladno prioritetnoj mjeri za povećanje energetske učinkovitosti iz Plana, Fond je u 202</w:t>
      </w:r>
      <w:r w:rsidR="00075CB7" w:rsidRPr="00075CB7">
        <w:t>3</w:t>
      </w:r>
      <w:r w:rsidRPr="00075CB7">
        <w:t xml:space="preserve">. </w:t>
      </w:r>
      <w:r w:rsidRPr="00075CB7">
        <w:rPr>
          <w:lang w:eastAsia="hr-HR"/>
        </w:rPr>
        <w:t>temeljem</w:t>
      </w:r>
      <w:r w:rsidR="00DC1691">
        <w:rPr>
          <w:lang w:eastAsia="hr-HR"/>
        </w:rPr>
        <w:t xml:space="preserve"> </w:t>
      </w:r>
      <w:r w:rsidRPr="00DC1691">
        <w:rPr>
          <w:i/>
          <w:iCs/>
          <w:lang w:eastAsia="hr-HR"/>
        </w:rPr>
        <w:t>Izmjena i dopuna Programa energetske obnove obiteljskih kuća za razdoblje od 2014.-2020.</w:t>
      </w:r>
      <w:r w:rsidRPr="00075CB7">
        <w:rPr>
          <w:lang w:eastAsia="hr-HR"/>
        </w:rPr>
        <w:t xml:space="preserve"> (</w:t>
      </w:r>
      <w:r w:rsidR="001E25D4">
        <w:rPr>
          <w:lang w:eastAsia="hr-HR"/>
        </w:rPr>
        <w:t>''</w:t>
      </w:r>
      <w:r w:rsidRPr="00075CB7">
        <w:rPr>
          <w:lang w:eastAsia="hr-HR"/>
        </w:rPr>
        <w:t>Narodne novine</w:t>
      </w:r>
      <w:r w:rsidR="001E25D4">
        <w:rPr>
          <w:lang w:eastAsia="hr-HR"/>
        </w:rPr>
        <w:t>'', broj</w:t>
      </w:r>
      <w:r w:rsidRPr="00075CB7">
        <w:rPr>
          <w:lang w:eastAsia="hr-HR"/>
        </w:rPr>
        <w:t xml:space="preserve"> 57/2020) koje je donijela Vlada RH</w:t>
      </w:r>
      <w:r w:rsidR="00DC1691">
        <w:rPr>
          <w:lang w:eastAsia="hr-HR"/>
        </w:rPr>
        <w:t xml:space="preserve"> </w:t>
      </w:r>
      <w:r w:rsidRPr="00075CB7">
        <w:rPr>
          <w:lang w:eastAsia="hr-HR"/>
        </w:rPr>
        <w:t>provodio</w:t>
      </w:r>
      <w:r w:rsidRPr="00075CB7">
        <w:t xml:space="preserve"> </w:t>
      </w:r>
      <w:r w:rsidRPr="00075CB7">
        <w:rPr>
          <w:lang w:eastAsia="hr-HR"/>
        </w:rPr>
        <w:t xml:space="preserve">mjere energetske obnove u obiteljskim kućama za ranjive skupine građana te isplaćivao naknadu </w:t>
      </w:r>
      <w:r w:rsidRPr="00075CB7">
        <w:rPr>
          <w:rFonts w:eastAsia="Times New Roman"/>
          <w:lang w:eastAsia="hr-HR"/>
        </w:rPr>
        <w:t xml:space="preserve">energetskim </w:t>
      </w:r>
      <w:proofErr w:type="spellStart"/>
      <w:r w:rsidRPr="00075CB7">
        <w:rPr>
          <w:rFonts w:eastAsia="Times New Roman"/>
          <w:lang w:eastAsia="hr-HR"/>
        </w:rPr>
        <w:t>certifikatorima</w:t>
      </w:r>
      <w:proofErr w:type="spellEnd"/>
      <w:r w:rsidRPr="00075CB7">
        <w:rPr>
          <w:rFonts w:eastAsia="Times New Roman"/>
          <w:lang w:eastAsia="hr-HR"/>
        </w:rPr>
        <w:t xml:space="preserve"> koji su po propisanim uvjetima pružali svu tehničku pomoć građanima </w:t>
      </w:r>
      <w:r w:rsidR="00DC1691">
        <w:rPr>
          <w:rFonts w:eastAsia="Times New Roman"/>
          <w:lang w:eastAsia="hr-HR"/>
        </w:rPr>
        <w:t>u riziku</w:t>
      </w:r>
      <w:r w:rsidRPr="00075CB7">
        <w:rPr>
          <w:rFonts w:eastAsia="Times New Roman"/>
          <w:lang w:eastAsia="hr-HR"/>
        </w:rPr>
        <w:t xml:space="preserve"> od energetskog siromaštva.</w:t>
      </w:r>
    </w:p>
    <w:p w14:paraId="4A38F2D0" w14:textId="66E390D5" w:rsidR="00287936" w:rsidRPr="00075CB7" w:rsidRDefault="00075CB7" w:rsidP="00287936">
      <w:pPr>
        <w:pStyle w:val="Odlomakpopisa"/>
        <w:spacing w:before="60" w:after="60"/>
        <w:ind w:left="0"/>
        <w:contextualSpacing w:val="0"/>
        <w:rPr>
          <w:rFonts w:eastAsia="Times New Roman"/>
          <w:lang w:eastAsia="hr-HR"/>
        </w:rPr>
      </w:pPr>
      <w:r w:rsidRPr="00075CB7">
        <w:rPr>
          <w:rFonts w:eastAsia="Times New Roman"/>
          <w:lang w:eastAsia="hr-HR"/>
        </w:rPr>
        <w:t>U</w:t>
      </w:r>
      <w:r w:rsidR="00287936" w:rsidRPr="00075CB7">
        <w:rPr>
          <w:rFonts w:eastAsia="Times New Roman"/>
          <w:lang w:eastAsia="hr-HR"/>
        </w:rPr>
        <w:t xml:space="preserve"> </w:t>
      </w:r>
      <w:r w:rsidRPr="00075CB7">
        <w:rPr>
          <w:rFonts w:eastAsia="Times New Roman"/>
          <w:lang w:eastAsia="hr-HR"/>
        </w:rPr>
        <w:t xml:space="preserve">2023. </w:t>
      </w:r>
      <w:r w:rsidR="00287936" w:rsidRPr="00075CB7">
        <w:rPr>
          <w:rFonts w:eastAsia="Times New Roman"/>
          <w:lang w:eastAsia="hr-HR"/>
        </w:rPr>
        <w:t xml:space="preserve">isplaćena su sredstva u iznosu od </w:t>
      </w:r>
      <w:r w:rsidRPr="00075CB7">
        <w:rPr>
          <w:rFonts w:eastAsia="Times New Roman"/>
          <w:b/>
          <w:bCs/>
          <w:lang w:eastAsia="hr-HR"/>
        </w:rPr>
        <w:t>23</w:t>
      </w:r>
      <w:r w:rsidR="00A37257">
        <w:rPr>
          <w:rFonts w:eastAsia="Times New Roman"/>
          <w:b/>
          <w:bCs/>
          <w:lang w:eastAsia="hr-HR"/>
        </w:rPr>
        <w:t>2</w:t>
      </w:r>
      <w:r w:rsidRPr="00075CB7">
        <w:rPr>
          <w:rFonts w:eastAsia="Times New Roman"/>
          <w:b/>
          <w:bCs/>
          <w:lang w:eastAsia="hr-HR"/>
        </w:rPr>
        <w:t>.504,82</w:t>
      </w:r>
      <w:r w:rsidR="00287936" w:rsidRPr="00075CB7">
        <w:rPr>
          <w:rFonts w:eastAsia="Times New Roman"/>
          <w:b/>
          <w:bCs/>
          <w:lang w:eastAsia="hr-HR"/>
        </w:rPr>
        <w:t xml:space="preserve"> </w:t>
      </w:r>
      <w:r w:rsidRPr="00075CB7">
        <w:rPr>
          <w:rFonts w:eastAsia="Times New Roman"/>
          <w:b/>
          <w:bCs/>
          <w:lang w:eastAsia="hr-HR"/>
        </w:rPr>
        <w:t>eura</w:t>
      </w:r>
      <w:r w:rsidR="00287936" w:rsidRPr="00075CB7">
        <w:rPr>
          <w:rFonts w:eastAsia="Times New Roman"/>
          <w:b/>
          <w:bCs/>
          <w:lang w:eastAsia="hr-HR"/>
        </w:rPr>
        <w:t xml:space="preserve"> </w:t>
      </w:r>
      <w:r w:rsidR="00287936" w:rsidRPr="00075CB7">
        <w:rPr>
          <w:rFonts w:eastAsia="Times New Roman"/>
          <w:lang w:eastAsia="hr-HR"/>
        </w:rPr>
        <w:t>za ukupno</w:t>
      </w:r>
      <w:r w:rsidR="00287936" w:rsidRPr="00075CB7">
        <w:rPr>
          <w:rFonts w:eastAsia="Times New Roman"/>
          <w:b/>
          <w:bCs/>
          <w:lang w:eastAsia="hr-HR"/>
        </w:rPr>
        <w:t xml:space="preserve"> </w:t>
      </w:r>
      <w:r w:rsidRPr="00075CB7">
        <w:rPr>
          <w:rFonts w:eastAsia="Times New Roman"/>
          <w:b/>
          <w:bCs/>
          <w:lang w:eastAsia="hr-HR"/>
        </w:rPr>
        <w:t>1</w:t>
      </w:r>
      <w:r w:rsidR="00287936" w:rsidRPr="00075CB7">
        <w:rPr>
          <w:rFonts w:eastAsia="Times New Roman"/>
          <w:b/>
          <w:bCs/>
          <w:lang w:eastAsia="hr-HR"/>
        </w:rPr>
        <w:t xml:space="preserve">1 </w:t>
      </w:r>
      <w:r w:rsidR="00287936" w:rsidRPr="00075CB7">
        <w:rPr>
          <w:rFonts w:eastAsia="Times New Roman"/>
          <w:lang w:eastAsia="hr-HR"/>
        </w:rPr>
        <w:t>projek</w:t>
      </w:r>
      <w:r w:rsidRPr="00075CB7">
        <w:rPr>
          <w:rFonts w:eastAsia="Times New Roman"/>
          <w:lang w:eastAsia="hr-HR"/>
        </w:rPr>
        <w:t>a</w:t>
      </w:r>
      <w:r w:rsidR="00287936" w:rsidRPr="00075CB7">
        <w:rPr>
          <w:rFonts w:eastAsia="Times New Roman"/>
          <w:lang w:eastAsia="hr-HR"/>
        </w:rPr>
        <w:t>t</w:t>
      </w:r>
      <w:r w:rsidRPr="00075CB7">
        <w:rPr>
          <w:rFonts w:eastAsia="Times New Roman"/>
          <w:lang w:eastAsia="hr-HR"/>
        </w:rPr>
        <w:t>a</w:t>
      </w:r>
      <w:r w:rsidR="00287936" w:rsidRPr="00075CB7">
        <w:rPr>
          <w:rFonts w:eastAsia="Times New Roman"/>
          <w:lang w:eastAsia="hr-HR"/>
        </w:rPr>
        <w:t xml:space="preserve"> obnove obiteljskih kuća za ranjive skupine građana</w:t>
      </w:r>
      <w:r w:rsidR="00122922">
        <w:rPr>
          <w:rFonts w:eastAsia="Times New Roman"/>
          <w:lang w:eastAsia="hr-HR"/>
        </w:rPr>
        <w:t xml:space="preserve"> dok u 2024. nije bilo isplata po ovoj mjeri.</w:t>
      </w:r>
    </w:p>
    <w:p w14:paraId="25C92813" w14:textId="43D5ACA5" w:rsidR="005C6D2A" w:rsidRPr="000E3B9A" w:rsidRDefault="005C6D2A" w:rsidP="00BC5ABB">
      <w:pPr>
        <w:spacing w:before="60" w:after="60"/>
        <w:rPr>
          <w:rFonts w:eastAsia="Times New Roman"/>
          <w:bCs/>
          <w:color w:val="000000"/>
          <w:highlight w:val="yellow"/>
          <w:lang w:eastAsia="hr-HR"/>
        </w:rPr>
      </w:pPr>
    </w:p>
    <w:p w14:paraId="47D1037D" w14:textId="035495EA" w:rsidR="0087063E" w:rsidRPr="004B7C54" w:rsidRDefault="0087063E" w:rsidP="00077A5D">
      <w:pPr>
        <w:pStyle w:val="Naslov2"/>
        <w:numPr>
          <w:ilvl w:val="2"/>
          <w:numId w:val="31"/>
        </w:numPr>
        <w:spacing w:before="120" w:after="120"/>
        <w:ind w:left="1418" w:hanging="851"/>
        <w:rPr>
          <w:rFonts w:ascii="Times New Roman" w:hAnsi="Times New Roman" w:cs="Times New Roman"/>
          <w:sz w:val="24"/>
          <w:szCs w:val="24"/>
        </w:rPr>
      </w:pPr>
      <w:bookmarkStart w:id="18" w:name="_Toc226980227"/>
      <w:r w:rsidRPr="004B7C54">
        <w:rPr>
          <w:rFonts w:ascii="Times New Roman" w:hAnsi="Times New Roman" w:cs="Times New Roman"/>
          <w:sz w:val="24"/>
          <w:szCs w:val="24"/>
        </w:rPr>
        <w:t>Smanjenje emisija stakleničkih plinova u prometu (PR)</w:t>
      </w:r>
      <w:bookmarkEnd w:id="18"/>
    </w:p>
    <w:p w14:paraId="387FA163" w14:textId="00253EF1" w:rsidR="0087063E" w:rsidRPr="004B7C54" w:rsidRDefault="0087063E" w:rsidP="003376E7">
      <w:pPr>
        <w:spacing w:before="60" w:after="60"/>
        <w:ind w:firstLine="567"/>
      </w:pPr>
      <w:r w:rsidRPr="004B7C54">
        <w:t>Promet ima veliki udio u ukupnoj energetskoj potrošnji te u emisijama stakleničkih plinova, čak oko 30</w:t>
      </w:r>
      <w:r w:rsidR="008302B8">
        <w:t xml:space="preserve"> </w:t>
      </w:r>
      <w:r w:rsidRPr="004B7C54">
        <w:t>% u zemljama Europske unije. U Republici Hrvatskoj promet čini 39,09</w:t>
      </w:r>
      <w:r w:rsidR="008302B8">
        <w:t xml:space="preserve"> </w:t>
      </w:r>
      <w:r w:rsidRPr="004B7C54">
        <w:t>% emisij</w:t>
      </w:r>
      <w:r w:rsidR="008302B8">
        <w:t>a</w:t>
      </w:r>
      <w:r w:rsidRPr="004B7C54">
        <w:t xml:space="preserve"> stakleničkih plinova, od toga cestovni promet 96,3</w:t>
      </w:r>
      <w:r w:rsidR="008302B8">
        <w:t xml:space="preserve"> </w:t>
      </w:r>
      <w:r w:rsidRPr="004B7C54">
        <w:t>%, željeznički promet 0,8</w:t>
      </w:r>
      <w:r w:rsidR="008302B8">
        <w:t xml:space="preserve"> </w:t>
      </w:r>
      <w:r w:rsidRPr="004B7C54">
        <w:t>%, pomorski i riječni promet 2,4</w:t>
      </w:r>
      <w:r w:rsidR="008302B8">
        <w:t xml:space="preserve"> </w:t>
      </w:r>
      <w:r w:rsidRPr="004B7C54">
        <w:t>% te domaći zračni promet 0,5</w:t>
      </w:r>
      <w:r w:rsidR="008302B8">
        <w:t xml:space="preserve"> </w:t>
      </w:r>
      <w:r w:rsidRPr="004B7C54">
        <w:t xml:space="preserve">% (izvor NIR 2020). S druge strane </w:t>
      </w:r>
      <w:r w:rsidRPr="004B7C54">
        <w:lastRenderedPageBreak/>
        <w:t>promet je preduvjet mobilnosti i razmjene dobara te kao takav preduvjet je za daljnji razvoj. Mjerama energetske učinkovitosti u prometu smanjuje se utjecaj prometa na okoliš, bez sputavanja daljnjeg razvoja.</w:t>
      </w:r>
    </w:p>
    <w:p w14:paraId="49C42B73" w14:textId="67B8C55B" w:rsidR="0087063E" w:rsidRPr="004D30EB" w:rsidRDefault="0087063E" w:rsidP="004F673E">
      <w:pPr>
        <w:spacing w:before="60" w:after="60"/>
        <w:ind w:firstLine="567"/>
      </w:pPr>
      <w:r w:rsidRPr="004D30EB">
        <w:t>Sukladno prioritetnoj mjeri za smanjenje emisija stakleničkih plinova u prometu iz Plana</w:t>
      </w:r>
      <w:r w:rsidR="00DE22C2">
        <w:t xml:space="preserve"> I</w:t>
      </w:r>
      <w:r w:rsidRPr="004D30EB">
        <w:t xml:space="preserve">, Fond je u </w:t>
      </w:r>
      <w:r w:rsidR="001D516F" w:rsidRPr="004D30EB">
        <w:t>20</w:t>
      </w:r>
      <w:r w:rsidR="004D30EB" w:rsidRPr="004D30EB">
        <w:t>23.</w:t>
      </w:r>
      <w:r w:rsidR="001D516F" w:rsidRPr="004D30EB">
        <w:t xml:space="preserve"> </w:t>
      </w:r>
      <w:r w:rsidRPr="004D30EB">
        <w:t xml:space="preserve">isplatio sredstva u iznosu od </w:t>
      </w:r>
      <w:r w:rsidR="004D30EB" w:rsidRPr="004D30EB">
        <w:rPr>
          <w:b/>
        </w:rPr>
        <w:t>14.148,58</w:t>
      </w:r>
      <w:r w:rsidRPr="004D30EB">
        <w:rPr>
          <w:b/>
        </w:rPr>
        <w:t xml:space="preserve"> </w:t>
      </w:r>
      <w:r w:rsidR="004D30EB" w:rsidRPr="004D30EB">
        <w:rPr>
          <w:b/>
        </w:rPr>
        <w:t>eura</w:t>
      </w:r>
      <w:r w:rsidRPr="004D30EB">
        <w:t xml:space="preserve"> za ukupno </w:t>
      </w:r>
      <w:r w:rsidRPr="004D30EB">
        <w:rPr>
          <w:b/>
        </w:rPr>
        <w:t>1 projekt</w:t>
      </w:r>
      <w:r w:rsidRPr="004D30EB">
        <w:t xml:space="preserve"> u sektoru prometa</w:t>
      </w:r>
      <w:r w:rsidR="004F673E" w:rsidRPr="004D30EB">
        <w:t xml:space="preserve"> koji se odnosi na </w:t>
      </w:r>
      <w:r w:rsidRPr="004D30EB">
        <w:t>nabavu tri "</w:t>
      </w:r>
      <w:r w:rsidRPr="005A7C03">
        <w:rPr>
          <w:i/>
          <w:iCs/>
        </w:rPr>
        <w:t xml:space="preserve">plug </w:t>
      </w:r>
      <w:proofErr w:type="spellStart"/>
      <w:r w:rsidRPr="005A7C03">
        <w:rPr>
          <w:i/>
          <w:iCs/>
        </w:rPr>
        <w:t>in</w:t>
      </w:r>
      <w:proofErr w:type="spellEnd"/>
      <w:r w:rsidRPr="004D30EB">
        <w:t xml:space="preserve">" hibridna vozila </w:t>
      </w:r>
      <w:r w:rsidR="005A7C03">
        <w:t>za</w:t>
      </w:r>
      <w:r w:rsidRPr="004D30EB">
        <w:t xml:space="preserve"> korisnika </w:t>
      </w:r>
      <w:r w:rsidRPr="004D30EB">
        <w:rPr>
          <w:color w:val="000000"/>
        </w:rPr>
        <w:t>JU Nacionalni park Plitvička jezera</w:t>
      </w:r>
      <w:r w:rsidR="004F673E" w:rsidRPr="004D30EB">
        <w:rPr>
          <w:color w:val="000000"/>
        </w:rPr>
        <w:t>.</w:t>
      </w:r>
    </w:p>
    <w:p w14:paraId="05C3B273" w14:textId="0ADF1D97" w:rsidR="0087063E" w:rsidRPr="00EB6F41" w:rsidRDefault="0087063E" w:rsidP="003376E7">
      <w:pPr>
        <w:spacing w:before="60" w:after="60"/>
        <w:ind w:firstLine="567"/>
      </w:pPr>
      <w:r w:rsidRPr="00652BE4">
        <w:t xml:space="preserve">Dodatno se navodi da je Fond tijekom </w:t>
      </w:r>
      <w:r w:rsidR="004F673E" w:rsidRPr="00652BE4">
        <w:t>202</w:t>
      </w:r>
      <w:r w:rsidR="00652BE4" w:rsidRPr="00652BE4">
        <w:t>3</w:t>
      </w:r>
      <w:r w:rsidR="004F673E" w:rsidRPr="00652BE4">
        <w:t xml:space="preserve">. i </w:t>
      </w:r>
      <w:r w:rsidRPr="00652BE4">
        <w:t>202</w:t>
      </w:r>
      <w:r w:rsidR="00652BE4" w:rsidRPr="00652BE4">
        <w:t>4</w:t>
      </w:r>
      <w:r w:rsidRPr="00652BE4">
        <w:t xml:space="preserve">. godine prihode ostvarene temeljem </w:t>
      </w:r>
      <w:r w:rsidRPr="00DE22C2">
        <w:rPr>
          <w:i/>
          <w:iCs/>
        </w:rPr>
        <w:t xml:space="preserve">posebne naknade za okoliš radi </w:t>
      </w:r>
      <w:proofErr w:type="spellStart"/>
      <w:r w:rsidRPr="00DE22C2">
        <w:rPr>
          <w:i/>
          <w:iCs/>
        </w:rPr>
        <w:t>nestavljanja</w:t>
      </w:r>
      <w:proofErr w:type="spellEnd"/>
      <w:r w:rsidRPr="00DE22C2">
        <w:rPr>
          <w:i/>
          <w:iCs/>
        </w:rPr>
        <w:t xml:space="preserve"> biogoriva na tržište</w:t>
      </w:r>
      <w:r w:rsidRPr="00652BE4">
        <w:t xml:space="preserve"> koristio za realizaciju projekata u sektoru promet</w:t>
      </w:r>
      <w:r w:rsidR="00185BFE">
        <w:t>a</w:t>
      </w:r>
      <w:r w:rsidRPr="00652BE4">
        <w:t xml:space="preserve"> koji se ne odnose na </w:t>
      </w:r>
      <w:r w:rsidR="00DE22C2">
        <w:t>ovo Izvješće</w:t>
      </w:r>
      <w:r w:rsidRPr="00652BE4">
        <w:t>.</w:t>
      </w:r>
    </w:p>
    <w:p w14:paraId="18083602" w14:textId="43FB18C2" w:rsidR="003C2B07" w:rsidRPr="00724A3E" w:rsidRDefault="00BB71CF" w:rsidP="00077A5D">
      <w:pPr>
        <w:pStyle w:val="Naslov2"/>
        <w:numPr>
          <w:ilvl w:val="2"/>
          <w:numId w:val="31"/>
        </w:numPr>
        <w:spacing w:before="120" w:after="120"/>
        <w:ind w:left="1418" w:hanging="851"/>
        <w:rPr>
          <w:rFonts w:ascii="Times New Roman" w:hAnsi="Times New Roman" w:cs="Times New Roman"/>
          <w:sz w:val="24"/>
          <w:szCs w:val="24"/>
        </w:rPr>
      </w:pPr>
      <w:bookmarkStart w:id="19" w:name="_Toc226980228"/>
      <w:bookmarkEnd w:id="14"/>
      <w:r w:rsidRPr="00724A3E">
        <w:rPr>
          <w:rFonts w:ascii="Times New Roman" w:hAnsi="Times New Roman" w:cs="Times New Roman"/>
          <w:sz w:val="24"/>
          <w:szCs w:val="24"/>
        </w:rPr>
        <w:t xml:space="preserve">Smanjenje emisije stakleničkih plinova u </w:t>
      </w:r>
      <w:proofErr w:type="spellStart"/>
      <w:r w:rsidRPr="00724A3E">
        <w:rPr>
          <w:rFonts w:ascii="Times New Roman" w:hAnsi="Times New Roman" w:cs="Times New Roman"/>
          <w:sz w:val="24"/>
          <w:szCs w:val="24"/>
        </w:rPr>
        <w:t>neenergetskim</w:t>
      </w:r>
      <w:proofErr w:type="spellEnd"/>
      <w:r w:rsidRPr="00724A3E">
        <w:rPr>
          <w:rFonts w:ascii="Times New Roman" w:hAnsi="Times New Roman" w:cs="Times New Roman"/>
          <w:sz w:val="24"/>
          <w:szCs w:val="24"/>
        </w:rPr>
        <w:t xml:space="preserve"> sektorima (NES/OT)</w:t>
      </w:r>
      <w:bookmarkEnd w:id="19"/>
    </w:p>
    <w:p w14:paraId="64D16B9C" w14:textId="6869744A" w:rsidR="00075610" w:rsidRPr="00724A3E" w:rsidRDefault="00075610" w:rsidP="003376E7">
      <w:pPr>
        <w:spacing w:before="60" w:after="60"/>
        <w:ind w:firstLine="567"/>
      </w:pPr>
      <w:r w:rsidRPr="00724A3E">
        <w:t>Smanjenje emisij</w:t>
      </w:r>
      <w:r w:rsidR="00185BFE">
        <w:t>a</w:t>
      </w:r>
      <w:r w:rsidRPr="00724A3E">
        <w:t xml:space="preserve"> stakleničkih plinova u </w:t>
      </w:r>
      <w:proofErr w:type="spellStart"/>
      <w:r w:rsidRPr="00724A3E">
        <w:t>neenergetskim</w:t>
      </w:r>
      <w:proofErr w:type="spellEnd"/>
      <w:r w:rsidRPr="00724A3E">
        <w:t xml:space="preserve"> sektorima podrazumijeva emisije iz </w:t>
      </w:r>
      <w:r w:rsidR="00185BFE">
        <w:t xml:space="preserve">sljedećih </w:t>
      </w:r>
      <w:r w:rsidRPr="00724A3E">
        <w:t>sektora:</w:t>
      </w:r>
    </w:p>
    <w:p w14:paraId="511A1936" w14:textId="77777777" w:rsidR="00075610" w:rsidRPr="00724A3E" w:rsidRDefault="00075610" w:rsidP="003A1CB7">
      <w:pPr>
        <w:pStyle w:val="Odlomakpopisa"/>
        <w:numPr>
          <w:ilvl w:val="0"/>
          <w:numId w:val="6"/>
        </w:numPr>
        <w:spacing w:before="60" w:after="60"/>
      </w:pPr>
      <w:r w:rsidRPr="00724A3E">
        <w:t>industrijski procesi</w:t>
      </w:r>
    </w:p>
    <w:p w14:paraId="714608C7" w14:textId="77777777" w:rsidR="00075610" w:rsidRPr="00724A3E" w:rsidRDefault="00075610" w:rsidP="003A1CB7">
      <w:pPr>
        <w:pStyle w:val="Odlomakpopisa"/>
        <w:numPr>
          <w:ilvl w:val="0"/>
          <w:numId w:val="6"/>
        </w:numPr>
        <w:spacing w:before="60" w:after="60"/>
      </w:pPr>
      <w:r w:rsidRPr="00724A3E">
        <w:t xml:space="preserve">uporaba opreme i/ili uređaja koji sadrže tvari koje oštećuju ozonski sloj i </w:t>
      </w:r>
      <w:proofErr w:type="spellStart"/>
      <w:r w:rsidRPr="00724A3E">
        <w:t>fluorirane</w:t>
      </w:r>
      <w:proofErr w:type="spellEnd"/>
      <w:r w:rsidRPr="00724A3E">
        <w:t xml:space="preserve"> stakleničke plinove te ostali proizvodi</w:t>
      </w:r>
    </w:p>
    <w:p w14:paraId="26CBA42B" w14:textId="77777777" w:rsidR="00075610" w:rsidRPr="00724A3E" w:rsidRDefault="00075610" w:rsidP="003A1CB7">
      <w:pPr>
        <w:pStyle w:val="Odlomakpopisa"/>
        <w:numPr>
          <w:ilvl w:val="0"/>
          <w:numId w:val="6"/>
        </w:numPr>
        <w:spacing w:before="60" w:after="60"/>
      </w:pPr>
      <w:r w:rsidRPr="00724A3E">
        <w:t>poljoprivreda</w:t>
      </w:r>
    </w:p>
    <w:p w14:paraId="76465A0A" w14:textId="2C0F95E9" w:rsidR="00075610" w:rsidRPr="00724A3E" w:rsidRDefault="00075610" w:rsidP="003A1CB7">
      <w:pPr>
        <w:pStyle w:val="Odlomakpopisa"/>
        <w:numPr>
          <w:ilvl w:val="0"/>
          <w:numId w:val="6"/>
        </w:numPr>
        <w:spacing w:before="60" w:after="60"/>
      </w:pPr>
      <w:r w:rsidRPr="00724A3E">
        <w:t>gospodarenje otpadom.</w:t>
      </w:r>
    </w:p>
    <w:p w14:paraId="082245B4" w14:textId="360AE31F" w:rsidR="00075610" w:rsidRPr="0027452A" w:rsidRDefault="00CD4218" w:rsidP="00C46DC6">
      <w:pPr>
        <w:spacing w:before="60" w:after="60"/>
        <w:ind w:firstLine="567"/>
        <w:rPr>
          <w:b/>
        </w:rPr>
      </w:pPr>
      <w:r w:rsidRPr="00724A3E">
        <w:t>Mjere koje su</w:t>
      </w:r>
      <w:r w:rsidR="000C5CE0" w:rsidRPr="00724A3E">
        <w:t xml:space="preserve"> provede</w:t>
      </w:r>
      <w:r w:rsidRPr="00724A3E">
        <w:t>ne</w:t>
      </w:r>
      <w:r w:rsidR="000C5CE0" w:rsidRPr="00724A3E">
        <w:t xml:space="preserve"> odnose se na područje gospodarenja otpad</w:t>
      </w:r>
      <w:r w:rsidR="00B65EF8" w:rsidRPr="00724A3E">
        <w:t>om</w:t>
      </w:r>
      <w:r w:rsidR="007773AA">
        <w:t xml:space="preserve"> </w:t>
      </w:r>
      <w:r w:rsidR="000632CF">
        <w:t xml:space="preserve">te je </w:t>
      </w:r>
      <w:r w:rsidR="000632CF" w:rsidRPr="000632CF">
        <w:rPr>
          <w:b/>
          <w:bCs/>
        </w:rPr>
        <w:t>za</w:t>
      </w:r>
      <w:r w:rsidR="000632CF">
        <w:t xml:space="preserve"> </w:t>
      </w:r>
      <w:r w:rsidR="00CF5A9B" w:rsidRPr="00F129B0">
        <w:rPr>
          <w:b/>
        </w:rPr>
        <w:t xml:space="preserve">mjeru NES/OT isplaćeno </w:t>
      </w:r>
      <w:r w:rsidR="000632CF" w:rsidRPr="000632CF">
        <w:rPr>
          <w:b/>
        </w:rPr>
        <w:t xml:space="preserve">384.550,91 </w:t>
      </w:r>
      <w:r w:rsidR="000632CF">
        <w:rPr>
          <w:b/>
        </w:rPr>
        <w:t>EUR</w:t>
      </w:r>
      <w:r w:rsidR="00C46DC6" w:rsidRPr="00724A3E">
        <w:rPr>
          <w:b/>
        </w:rPr>
        <w:t xml:space="preserve"> za ukupno </w:t>
      </w:r>
      <w:r w:rsidR="00BE5FA8">
        <w:rPr>
          <w:b/>
        </w:rPr>
        <w:t>5</w:t>
      </w:r>
      <w:r w:rsidR="00C46DC6" w:rsidRPr="00724A3E">
        <w:rPr>
          <w:b/>
        </w:rPr>
        <w:t xml:space="preserve"> projekta.</w:t>
      </w:r>
      <w:bookmarkStart w:id="20" w:name="_Hlk156472073"/>
    </w:p>
    <w:bookmarkEnd w:id="20"/>
    <w:p w14:paraId="05BF6D6C" w14:textId="53C74B18" w:rsidR="00075610" w:rsidRPr="00724A3E" w:rsidRDefault="00075610" w:rsidP="003376E7">
      <w:pPr>
        <w:spacing w:before="60" w:after="60"/>
        <w:ind w:firstLine="567"/>
      </w:pPr>
      <w:r w:rsidRPr="00724A3E">
        <w:t>Riječ je o sl</w:t>
      </w:r>
      <w:r w:rsidR="00B0094A" w:rsidRPr="00724A3E">
        <w:t>i</w:t>
      </w:r>
      <w:r w:rsidRPr="00724A3E">
        <w:t>jedećim projektima</w:t>
      </w:r>
      <w:r w:rsidR="00C46DC6">
        <w:t>:</w:t>
      </w:r>
    </w:p>
    <w:p w14:paraId="4FC370AB" w14:textId="64252B3B" w:rsidR="00DE22C2" w:rsidRPr="00DE22C2" w:rsidRDefault="006F4DAE" w:rsidP="003A1CB7">
      <w:pPr>
        <w:pStyle w:val="Odlomakpopisa"/>
        <w:numPr>
          <w:ilvl w:val="0"/>
          <w:numId w:val="7"/>
        </w:numPr>
        <w:spacing w:before="60" w:after="60"/>
        <w:rPr>
          <w:b/>
          <w:bCs/>
        </w:rPr>
      </w:pPr>
      <w:r w:rsidRPr="006F4DAE">
        <w:rPr>
          <w:i/>
          <w:iCs/>
        </w:rPr>
        <w:t>S</w:t>
      </w:r>
      <w:r w:rsidR="00C76298" w:rsidRPr="006F4DAE">
        <w:rPr>
          <w:i/>
          <w:iCs/>
        </w:rPr>
        <w:t>manjenje količine odloženog biorazgradivog otpada</w:t>
      </w:r>
      <w:r w:rsidR="00C76298" w:rsidRPr="00724A3E">
        <w:t xml:space="preserve"> </w:t>
      </w:r>
      <w:r w:rsidR="00DE22C2">
        <w:t>financira se</w:t>
      </w:r>
      <w:r w:rsidR="00C76298" w:rsidRPr="00724A3E">
        <w:t xml:space="preserve"> bespovratnim EU sredstvima u iznosu od 85</w:t>
      </w:r>
      <w:r w:rsidR="00185BFE">
        <w:t xml:space="preserve"> </w:t>
      </w:r>
      <w:r w:rsidR="00C76298" w:rsidRPr="00724A3E">
        <w:t xml:space="preserve">% </w:t>
      </w:r>
      <w:r w:rsidR="00DE22C2">
        <w:t>iz</w:t>
      </w:r>
      <w:r w:rsidR="00C76298" w:rsidRPr="00724A3E">
        <w:t xml:space="preserve"> </w:t>
      </w:r>
      <w:r w:rsidR="009E388F" w:rsidRPr="009E388F">
        <w:t>Operativnog program</w:t>
      </w:r>
      <w:r w:rsidR="009E388F">
        <w:t>a</w:t>
      </w:r>
      <w:r w:rsidR="009E388F" w:rsidRPr="009E388F">
        <w:t xml:space="preserve"> Konkurentnost i kohezija 2014. - 2020. godina (OPKK)</w:t>
      </w:r>
      <w:r w:rsidR="00DE22C2">
        <w:t>,</w:t>
      </w:r>
      <w:r w:rsidR="00C76298" w:rsidRPr="00724A3E">
        <w:t xml:space="preserve"> Fond osigurava nacionalnu komponentu u iznosu od 10</w:t>
      </w:r>
      <w:r w:rsidR="00185BFE">
        <w:t xml:space="preserve"> </w:t>
      </w:r>
      <w:r w:rsidR="00C76298" w:rsidRPr="00724A3E">
        <w:t>% prihvatljivih troškova, a razliku od 5</w:t>
      </w:r>
      <w:r w:rsidR="00185BFE">
        <w:t xml:space="preserve"> </w:t>
      </w:r>
      <w:r w:rsidR="00C76298" w:rsidRPr="00724A3E">
        <w:t>% osigurava korisnik. Radi se o projektima sanacije zatvorenih odlagališta, a o</w:t>
      </w:r>
      <w:r w:rsidR="00C76298" w:rsidRPr="00724A3E">
        <w:rPr>
          <w:lang w:eastAsia="hr-HR"/>
        </w:rPr>
        <w:t>čekivani učinci mjera su uspostava integriranog sustava gospodarenja otpadom u Republici Hrvatskoj, ostvarivanje pozitivnih učinaka u zaštiti okoliša te smanjenje emisija stakleničkih plinova iz sektora gospodarenja otpadom.</w:t>
      </w:r>
      <w:r w:rsidR="00C76298" w:rsidRPr="00724A3E">
        <w:t xml:space="preserve"> </w:t>
      </w:r>
    </w:p>
    <w:p w14:paraId="3E916E5C" w14:textId="01E7A6CA" w:rsidR="00C76298" w:rsidRPr="00DE22C2" w:rsidRDefault="000632CF" w:rsidP="00077A5D">
      <w:pPr>
        <w:pStyle w:val="Odlomakpopisa"/>
        <w:numPr>
          <w:ilvl w:val="1"/>
          <w:numId w:val="25"/>
        </w:numPr>
        <w:spacing w:before="60" w:after="60"/>
        <w:rPr>
          <w:u w:val="single"/>
        </w:rPr>
      </w:pPr>
      <w:r w:rsidRPr="00DE22C2">
        <w:rPr>
          <w:u w:val="single"/>
        </w:rPr>
        <w:t xml:space="preserve">U 2023. </w:t>
      </w:r>
      <w:r w:rsidR="00DE22C2" w:rsidRPr="00DE22C2">
        <w:rPr>
          <w:u w:val="single"/>
        </w:rPr>
        <w:t>i</w:t>
      </w:r>
      <w:r w:rsidRPr="00DE22C2">
        <w:rPr>
          <w:u w:val="single"/>
        </w:rPr>
        <w:t xml:space="preserve"> 2024. i</w:t>
      </w:r>
      <w:r w:rsidR="002C63DC" w:rsidRPr="00DE22C2">
        <w:rPr>
          <w:u w:val="single"/>
        </w:rPr>
        <w:t>splaćen</w:t>
      </w:r>
      <w:r w:rsidRPr="00DE22C2">
        <w:rPr>
          <w:u w:val="single"/>
        </w:rPr>
        <w:t xml:space="preserve">a su sredstva u iznosu </w:t>
      </w:r>
      <w:r w:rsidRPr="00DE22C2">
        <w:rPr>
          <w:b/>
          <w:bCs/>
          <w:u w:val="single"/>
        </w:rPr>
        <w:t>118.483,88 EUR</w:t>
      </w:r>
      <w:r w:rsidRPr="00DE22C2">
        <w:rPr>
          <w:u w:val="single"/>
        </w:rPr>
        <w:t xml:space="preserve"> </w:t>
      </w:r>
      <w:r w:rsidR="00DE22C2">
        <w:rPr>
          <w:u w:val="single"/>
        </w:rPr>
        <w:t>g</w:t>
      </w:r>
      <w:r w:rsidRPr="00DE22C2">
        <w:rPr>
          <w:u w:val="single"/>
        </w:rPr>
        <w:t>radu Pul</w:t>
      </w:r>
      <w:r w:rsidR="00185BFE" w:rsidRPr="00DE22C2">
        <w:rPr>
          <w:u w:val="single"/>
        </w:rPr>
        <w:t>i</w:t>
      </w:r>
      <w:r w:rsidR="00DE22C2">
        <w:rPr>
          <w:u w:val="single"/>
        </w:rPr>
        <w:t xml:space="preserve"> za</w:t>
      </w:r>
      <w:r w:rsidR="00185BFE" w:rsidRPr="00DE22C2">
        <w:rPr>
          <w:u w:val="single"/>
        </w:rPr>
        <w:t xml:space="preserve"> </w:t>
      </w:r>
      <w:r w:rsidRPr="00DE22C2">
        <w:rPr>
          <w:u w:val="single"/>
        </w:rPr>
        <w:t>odlagališt</w:t>
      </w:r>
      <w:r w:rsidR="00DE22C2">
        <w:rPr>
          <w:u w:val="single"/>
        </w:rPr>
        <w:t>e</w:t>
      </w:r>
      <w:r w:rsidRPr="00DE22C2">
        <w:rPr>
          <w:u w:val="single"/>
        </w:rPr>
        <w:t xml:space="preserve"> </w:t>
      </w:r>
      <w:proofErr w:type="spellStart"/>
      <w:r w:rsidRPr="00DE22C2">
        <w:rPr>
          <w:u w:val="single"/>
        </w:rPr>
        <w:t>Kaštijun</w:t>
      </w:r>
      <w:proofErr w:type="spellEnd"/>
      <w:r w:rsidRPr="00DE22C2">
        <w:rPr>
          <w:u w:val="single"/>
        </w:rPr>
        <w:t xml:space="preserve">, </w:t>
      </w:r>
      <w:r w:rsidR="00DE22C2">
        <w:rPr>
          <w:u w:val="single"/>
        </w:rPr>
        <w:t>o</w:t>
      </w:r>
      <w:r w:rsidRPr="00DE22C2">
        <w:rPr>
          <w:u w:val="single"/>
        </w:rPr>
        <w:t>pćini Pitomača</w:t>
      </w:r>
      <w:r w:rsidR="00DE22C2">
        <w:rPr>
          <w:u w:val="single"/>
        </w:rPr>
        <w:t xml:space="preserve"> za</w:t>
      </w:r>
      <w:r w:rsidR="00185BFE" w:rsidRPr="00DE22C2">
        <w:rPr>
          <w:u w:val="single"/>
        </w:rPr>
        <w:t xml:space="preserve"> </w:t>
      </w:r>
      <w:r w:rsidRPr="00DE22C2">
        <w:rPr>
          <w:u w:val="single"/>
        </w:rPr>
        <w:t>odlagališt</w:t>
      </w:r>
      <w:r w:rsidR="00DE22C2">
        <w:rPr>
          <w:u w:val="single"/>
        </w:rPr>
        <w:t>e</w:t>
      </w:r>
      <w:r w:rsidRPr="00DE22C2">
        <w:rPr>
          <w:u w:val="single"/>
        </w:rPr>
        <w:t xml:space="preserve"> Klis i </w:t>
      </w:r>
      <w:r w:rsidR="00DE22C2">
        <w:rPr>
          <w:u w:val="single"/>
        </w:rPr>
        <w:t>g</w:t>
      </w:r>
      <w:r w:rsidRPr="00DE22C2">
        <w:rPr>
          <w:u w:val="single"/>
        </w:rPr>
        <w:t>radu Osijek</w:t>
      </w:r>
      <w:r w:rsidR="00185BFE" w:rsidRPr="00DE22C2">
        <w:rPr>
          <w:u w:val="single"/>
        </w:rPr>
        <w:t>u</w:t>
      </w:r>
      <w:r w:rsidR="00DE22C2">
        <w:rPr>
          <w:u w:val="single"/>
        </w:rPr>
        <w:t xml:space="preserve"> za</w:t>
      </w:r>
      <w:r w:rsidR="00185BFE" w:rsidRPr="00DE22C2">
        <w:rPr>
          <w:u w:val="single"/>
        </w:rPr>
        <w:t xml:space="preserve"> </w:t>
      </w:r>
      <w:r w:rsidRPr="00DE22C2">
        <w:rPr>
          <w:u w:val="single"/>
        </w:rPr>
        <w:t>odlagališt</w:t>
      </w:r>
      <w:r w:rsidR="00DE22C2">
        <w:rPr>
          <w:u w:val="single"/>
        </w:rPr>
        <w:t>e</w:t>
      </w:r>
      <w:r w:rsidRPr="00DE22C2">
        <w:rPr>
          <w:u w:val="single"/>
        </w:rPr>
        <w:t xml:space="preserve"> Sarvaš</w:t>
      </w:r>
      <w:r w:rsidR="002C63DC" w:rsidRPr="00DE22C2">
        <w:rPr>
          <w:u w:val="single"/>
        </w:rPr>
        <w:t>.</w:t>
      </w:r>
    </w:p>
    <w:p w14:paraId="6C438554" w14:textId="6476F629" w:rsidR="00C76298" w:rsidRPr="009E388F" w:rsidRDefault="009E388F" w:rsidP="003A1CB7">
      <w:pPr>
        <w:pStyle w:val="Odlomakpopisa"/>
        <w:numPr>
          <w:ilvl w:val="0"/>
          <w:numId w:val="7"/>
        </w:numPr>
        <w:spacing w:before="60" w:after="60"/>
        <w:rPr>
          <w:b/>
          <w:bCs/>
        </w:rPr>
      </w:pPr>
      <w:r>
        <w:rPr>
          <w:i/>
          <w:iCs/>
        </w:rPr>
        <w:t>Z</w:t>
      </w:r>
      <w:r w:rsidR="00C76298" w:rsidRPr="009E388F">
        <w:rPr>
          <w:i/>
          <w:iCs/>
        </w:rPr>
        <w:t>brinjavanja goriva iz otpada</w:t>
      </w:r>
      <w:r w:rsidR="00C76298" w:rsidRPr="00E9642C">
        <w:t xml:space="preserve"> </w:t>
      </w:r>
      <w:r w:rsidR="0027452A">
        <w:t>z</w:t>
      </w:r>
      <w:r w:rsidR="00C76298" w:rsidRPr="00E9642C">
        <w:t xml:space="preserve">a dva izgrađena Centra za gospodarenje otpadom – CGO </w:t>
      </w:r>
      <w:proofErr w:type="spellStart"/>
      <w:r w:rsidR="00C76298" w:rsidRPr="00E9642C">
        <w:t>Marišćina</w:t>
      </w:r>
      <w:proofErr w:type="spellEnd"/>
      <w:r w:rsidR="00C76298" w:rsidRPr="00E9642C">
        <w:t xml:space="preserve"> (korisnik </w:t>
      </w:r>
      <w:proofErr w:type="spellStart"/>
      <w:r w:rsidR="00C76298" w:rsidRPr="00E9642C">
        <w:t>Ekoplus</w:t>
      </w:r>
      <w:proofErr w:type="spellEnd"/>
      <w:r w:rsidR="00C76298" w:rsidRPr="00E9642C">
        <w:t xml:space="preserve"> d.o.o.) </w:t>
      </w:r>
      <w:r>
        <w:t>i</w:t>
      </w:r>
      <w:r w:rsidR="00C76298" w:rsidRPr="00E9642C">
        <w:t xml:space="preserve"> CGO </w:t>
      </w:r>
      <w:proofErr w:type="spellStart"/>
      <w:r w:rsidR="00C76298" w:rsidRPr="00E9642C">
        <w:t>Kaštijun</w:t>
      </w:r>
      <w:proofErr w:type="spellEnd"/>
      <w:r w:rsidR="00C76298" w:rsidRPr="00E9642C">
        <w:t xml:space="preserve"> (korisnik </w:t>
      </w:r>
      <w:proofErr w:type="spellStart"/>
      <w:r w:rsidR="00C76298" w:rsidRPr="00E9642C">
        <w:t>Kaštijun</w:t>
      </w:r>
      <w:proofErr w:type="spellEnd"/>
      <w:r w:rsidR="00C76298" w:rsidRPr="00E9642C">
        <w:t xml:space="preserve"> d.o.o.)</w:t>
      </w:r>
      <w:r w:rsidR="00C46DC6">
        <w:t>.</w:t>
      </w:r>
    </w:p>
    <w:p w14:paraId="42346F6F" w14:textId="200EEAFD" w:rsidR="009E388F" w:rsidRDefault="009E388F" w:rsidP="003A1CB7">
      <w:pPr>
        <w:pStyle w:val="Odlomakpopisa"/>
        <w:numPr>
          <w:ilvl w:val="2"/>
          <w:numId w:val="7"/>
        </w:numPr>
        <w:spacing w:before="60" w:after="60"/>
        <w:rPr>
          <w:b/>
          <w:bCs/>
          <w:u w:val="single"/>
        </w:rPr>
      </w:pPr>
      <w:r w:rsidRPr="009E388F">
        <w:rPr>
          <w:u w:val="single"/>
        </w:rPr>
        <w:t xml:space="preserve">Ukupno je isplaćeno </w:t>
      </w:r>
      <w:r w:rsidRPr="009E388F">
        <w:rPr>
          <w:b/>
          <w:bCs/>
          <w:u w:val="single"/>
        </w:rPr>
        <w:t>266.067,03 EUR</w:t>
      </w:r>
    </w:p>
    <w:p w14:paraId="0EFE6BF6" w14:textId="77777777" w:rsidR="009E388F" w:rsidRPr="009E388F" w:rsidRDefault="009E388F" w:rsidP="009E388F">
      <w:pPr>
        <w:spacing w:before="60" w:after="60"/>
        <w:rPr>
          <w:b/>
          <w:bCs/>
          <w:u w:val="single"/>
        </w:rPr>
      </w:pPr>
    </w:p>
    <w:p w14:paraId="5EA2A1FF" w14:textId="0BDEFC39" w:rsidR="00BB71CF" w:rsidRPr="00952BB6" w:rsidRDefault="00BB71CF" w:rsidP="00077A5D">
      <w:pPr>
        <w:pStyle w:val="Naslov2"/>
        <w:numPr>
          <w:ilvl w:val="2"/>
          <w:numId w:val="31"/>
        </w:numPr>
        <w:spacing w:before="120" w:after="120"/>
        <w:ind w:left="1418" w:hanging="851"/>
        <w:rPr>
          <w:rFonts w:ascii="Times New Roman" w:hAnsi="Times New Roman" w:cs="Times New Roman"/>
          <w:sz w:val="24"/>
          <w:szCs w:val="24"/>
        </w:rPr>
      </w:pPr>
      <w:bookmarkStart w:id="21" w:name="_Toc226980229"/>
      <w:bookmarkStart w:id="22" w:name="_Toc481668216"/>
      <w:r w:rsidRPr="00952BB6">
        <w:rPr>
          <w:rFonts w:ascii="Times New Roman" w:hAnsi="Times New Roman" w:cs="Times New Roman"/>
          <w:sz w:val="24"/>
          <w:szCs w:val="24"/>
        </w:rPr>
        <w:t>Projekti ESI fondova i prioritetne mjere prilagodbe klimatskim promjenama (ESIF)</w:t>
      </w:r>
      <w:bookmarkEnd w:id="21"/>
    </w:p>
    <w:bookmarkEnd w:id="22"/>
    <w:p w14:paraId="16806694" w14:textId="2B1FFDFA" w:rsidR="00B10180" w:rsidRPr="00952BB6" w:rsidRDefault="00075610" w:rsidP="003376E7">
      <w:pPr>
        <w:tabs>
          <w:tab w:val="left" w:pos="709"/>
        </w:tabs>
        <w:spacing w:before="60" w:after="60"/>
        <w:ind w:firstLine="567"/>
      </w:pPr>
      <w:r w:rsidRPr="00952BB6">
        <w:t xml:space="preserve">Planom </w:t>
      </w:r>
      <w:r w:rsidR="00DF23D5">
        <w:t xml:space="preserve">I. </w:t>
      </w:r>
      <w:r w:rsidRPr="00952BB6">
        <w:t>omogućeno</w:t>
      </w:r>
      <w:r w:rsidR="00DF23D5">
        <w:t xml:space="preserve"> je</w:t>
      </w:r>
      <w:r w:rsidRPr="00952BB6">
        <w:t xml:space="preserve"> financiranje nacionalne komponente do 15</w:t>
      </w:r>
      <w:r w:rsidR="00E44FEC">
        <w:t xml:space="preserve"> </w:t>
      </w:r>
      <w:r w:rsidRPr="00952BB6">
        <w:t>% u</w:t>
      </w:r>
      <w:r w:rsidR="00B10180" w:rsidRPr="00952BB6">
        <w:t>kupne vrijednosti pojedinačnih</w:t>
      </w:r>
      <w:r w:rsidR="00B002DB" w:rsidRPr="00952BB6">
        <w:t xml:space="preserve"> </w:t>
      </w:r>
      <w:r w:rsidR="00B10180" w:rsidRPr="00952BB6">
        <w:t>projekata</w:t>
      </w:r>
      <w:r w:rsidRPr="00952BB6">
        <w:t xml:space="preserve"> u okviru OPKK u nadležnosti </w:t>
      </w:r>
      <w:r w:rsidR="00952BB6">
        <w:t xml:space="preserve">MZOZT (tadašnji </w:t>
      </w:r>
      <w:r w:rsidR="00B10180" w:rsidRPr="00952BB6">
        <w:t>MINGOR</w:t>
      </w:r>
      <w:r w:rsidR="00952BB6">
        <w:t>)</w:t>
      </w:r>
      <w:r w:rsidR="00B10180" w:rsidRPr="00952BB6">
        <w:t xml:space="preserve">/PT1 (klima </w:t>
      </w:r>
      <w:r w:rsidR="00B10180" w:rsidRPr="00952BB6">
        <w:lastRenderedPageBreak/>
        <w:t>i zrak),</w:t>
      </w:r>
      <w:r w:rsidR="00984ECE" w:rsidRPr="00952BB6">
        <w:t xml:space="preserve"> </w:t>
      </w:r>
      <w:r w:rsidRPr="00952BB6">
        <w:t>MRRFEU/PT1 (bior</w:t>
      </w:r>
      <w:r w:rsidR="00B10180" w:rsidRPr="00952BB6">
        <w:t xml:space="preserve">aznolikost) i </w:t>
      </w:r>
      <w:r w:rsidR="00952BB6">
        <w:t xml:space="preserve">MZOZT (tadašnji </w:t>
      </w:r>
      <w:r w:rsidR="00B10180" w:rsidRPr="00952BB6">
        <w:t>MINGOR</w:t>
      </w:r>
      <w:r w:rsidR="00952BB6">
        <w:t>)</w:t>
      </w:r>
      <w:r w:rsidR="00B10180" w:rsidRPr="00952BB6">
        <w:t>/SNT te za projekte prilagodbe klimatskim promjenama.</w:t>
      </w:r>
    </w:p>
    <w:p w14:paraId="7C3CC498" w14:textId="5FCF9D8C" w:rsidR="00984ECE" w:rsidRPr="00952BB6" w:rsidRDefault="00B10180" w:rsidP="003376E7">
      <w:pPr>
        <w:tabs>
          <w:tab w:val="left" w:pos="709"/>
        </w:tabs>
        <w:spacing w:before="60" w:after="60"/>
        <w:ind w:firstLine="567"/>
        <w:rPr>
          <w:bCs/>
        </w:rPr>
      </w:pPr>
      <w:r w:rsidRPr="00952BB6">
        <w:rPr>
          <w:bCs/>
        </w:rPr>
        <w:t>U 202</w:t>
      </w:r>
      <w:r w:rsidR="00952BB6">
        <w:rPr>
          <w:bCs/>
        </w:rPr>
        <w:t>3</w:t>
      </w:r>
      <w:r w:rsidRPr="00952BB6">
        <w:rPr>
          <w:bCs/>
        </w:rPr>
        <w:t>.</w:t>
      </w:r>
      <w:r w:rsidR="006413D2" w:rsidRPr="00952BB6">
        <w:rPr>
          <w:bCs/>
        </w:rPr>
        <w:t xml:space="preserve"> i 202</w:t>
      </w:r>
      <w:r w:rsidR="00952BB6">
        <w:rPr>
          <w:bCs/>
        </w:rPr>
        <w:t>4</w:t>
      </w:r>
      <w:r w:rsidR="006413D2" w:rsidRPr="00952BB6">
        <w:rPr>
          <w:bCs/>
        </w:rPr>
        <w:t>.</w:t>
      </w:r>
      <w:r w:rsidRPr="00952BB6">
        <w:rPr>
          <w:bCs/>
        </w:rPr>
        <w:t xml:space="preserve"> </w:t>
      </w:r>
      <w:r w:rsidR="009E388F">
        <w:rPr>
          <w:bCs/>
        </w:rPr>
        <w:t>u okviru</w:t>
      </w:r>
      <w:r w:rsidRPr="00952BB6">
        <w:rPr>
          <w:bCs/>
        </w:rPr>
        <w:t xml:space="preserve"> prioritetn</w:t>
      </w:r>
      <w:r w:rsidR="009E388F">
        <w:rPr>
          <w:bCs/>
        </w:rPr>
        <w:t>e</w:t>
      </w:r>
      <w:r w:rsidRPr="00952BB6">
        <w:rPr>
          <w:bCs/>
        </w:rPr>
        <w:t xml:space="preserve"> mjer</w:t>
      </w:r>
      <w:r w:rsidR="009E388F">
        <w:rPr>
          <w:bCs/>
        </w:rPr>
        <w:t>e</w:t>
      </w:r>
      <w:r w:rsidRPr="00952BB6">
        <w:rPr>
          <w:bCs/>
        </w:rPr>
        <w:t xml:space="preserve"> ESIF koja se odnosi na nacionalnu komponentu za projekte financirane iz OPKK i za projekte prilagodbe klimatskim promjenama, </w:t>
      </w:r>
      <w:r w:rsidRPr="00952BB6">
        <w:rPr>
          <w:b/>
        </w:rPr>
        <w:t xml:space="preserve">isplaćena su sredstva u iznosu od </w:t>
      </w:r>
      <w:r w:rsidR="00C80AA3" w:rsidRPr="00C80AA3">
        <w:rPr>
          <w:b/>
        </w:rPr>
        <w:t xml:space="preserve">7.187.395,49 </w:t>
      </w:r>
      <w:r w:rsidR="00C80AA3">
        <w:rPr>
          <w:b/>
        </w:rPr>
        <w:t xml:space="preserve">EUR </w:t>
      </w:r>
      <w:r w:rsidR="009E388F" w:rsidRPr="00952BB6">
        <w:rPr>
          <w:b/>
        </w:rPr>
        <w:t xml:space="preserve">za ukupno </w:t>
      </w:r>
      <w:r w:rsidR="009E388F">
        <w:rPr>
          <w:b/>
        </w:rPr>
        <w:t>39</w:t>
      </w:r>
      <w:r w:rsidR="009E388F" w:rsidRPr="00952BB6">
        <w:rPr>
          <w:b/>
        </w:rPr>
        <w:t xml:space="preserve"> projekata</w:t>
      </w:r>
      <w:r w:rsidR="00631686" w:rsidRPr="00952BB6">
        <w:rPr>
          <w:bCs/>
        </w:rPr>
        <w:t>:</w:t>
      </w:r>
    </w:p>
    <w:p w14:paraId="2494D6FF" w14:textId="77777777" w:rsidR="009E388F" w:rsidRPr="009E388F" w:rsidRDefault="00B002DB" w:rsidP="003A1CB7">
      <w:pPr>
        <w:pStyle w:val="Odlomakpopisa"/>
        <w:numPr>
          <w:ilvl w:val="0"/>
          <w:numId w:val="10"/>
        </w:numPr>
        <w:tabs>
          <w:tab w:val="left" w:pos="709"/>
        </w:tabs>
        <w:spacing w:before="60" w:after="60"/>
        <w:rPr>
          <w:b/>
        </w:rPr>
      </w:pPr>
      <w:r w:rsidRPr="00952BB6">
        <w:t>Specifični cilj OPKK 5a1.1.</w:t>
      </w:r>
      <w:r w:rsidR="00DA7D75" w:rsidRPr="00952BB6">
        <w:t>:</w:t>
      </w:r>
      <w:r w:rsidRPr="00952BB6">
        <w:t xml:space="preserve"> Projekt modernizacije meteorološke mreže – METMONIC,</w:t>
      </w:r>
      <w:r w:rsidR="001767A5" w:rsidRPr="00952BB6">
        <w:t xml:space="preserve"> kojega provodi Državni hidrometeorološki zavod,</w:t>
      </w:r>
      <w:r w:rsidR="00CB75E5" w:rsidRPr="00952BB6">
        <w:t xml:space="preserve"> a realizacijom projekta </w:t>
      </w:r>
      <w:r w:rsidR="00C80AA3">
        <w:t>omogućeno je</w:t>
      </w:r>
      <w:r w:rsidR="00CB75E5" w:rsidRPr="00952BB6">
        <w:t xml:space="preserve"> kontinuirano praćenje vremena, klime i klimatskih promjena te davanja pravovremenog upozorenja na opasne vremenske prilike, s ciljem podrške sustavima prilagodbe na klimatske promjene i djelovanja u slučaju prirodnih nepogoda, čime se ostvaruje izravna podrška održivom razvoju te povećanju sigurnosti i očuvanju ljudskih života i dobara. </w:t>
      </w:r>
    </w:p>
    <w:p w14:paraId="4377360C" w14:textId="1B7E6706" w:rsidR="00984ECE" w:rsidRPr="009E388F" w:rsidRDefault="00A10C1D" w:rsidP="003A1CB7">
      <w:pPr>
        <w:pStyle w:val="Odlomakpopisa"/>
        <w:numPr>
          <w:ilvl w:val="2"/>
          <w:numId w:val="10"/>
        </w:numPr>
        <w:tabs>
          <w:tab w:val="left" w:pos="709"/>
        </w:tabs>
        <w:spacing w:before="60" w:after="60"/>
        <w:rPr>
          <w:b/>
        </w:rPr>
      </w:pPr>
      <w:r w:rsidRPr="00A10C1D">
        <w:rPr>
          <w:u w:val="single"/>
        </w:rPr>
        <w:t>U</w:t>
      </w:r>
      <w:r w:rsidR="009E388F" w:rsidRPr="009E388F">
        <w:rPr>
          <w:u w:val="single"/>
        </w:rPr>
        <w:t>kupno je isplaćeno</w:t>
      </w:r>
      <w:r w:rsidR="00C80AA3" w:rsidRPr="009E388F">
        <w:rPr>
          <w:u w:val="single"/>
        </w:rPr>
        <w:t xml:space="preserve"> </w:t>
      </w:r>
      <w:r w:rsidR="00C80AA3" w:rsidRPr="009E388F">
        <w:rPr>
          <w:b/>
          <w:bCs/>
          <w:u w:val="single"/>
        </w:rPr>
        <w:t>3.651.860,65 EUR</w:t>
      </w:r>
      <w:r w:rsidR="00C80AA3" w:rsidRPr="009E388F">
        <w:rPr>
          <w:u w:val="single"/>
        </w:rPr>
        <w:t xml:space="preserve"> što uključuje i završno plaćanje.</w:t>
      </w:r>
    </w:p>
    <w:p w14:paraId="02C36C44" w14:textId="77777777" w:rsidR="009E388F" w:rsidRPr="00952BB6" w:rsidRDefault="009E388F" w:rsidP="009E388F">
      <w:pPr>
        <w:pStyle w:val="Odlomakpopisa"/>
        <w:tabs>
          <w:tab w:val="left" w:pos="709"/>
        </w:tabs>
        <w:spacing w:before="60" w:after="60"/>
        <w:ind w:left="2160"/>
        <w:rPr>
          <w:b/>
        </w:rPr>
      </w:pPr>
    </w:p>
    <w:p w14:paraId="5C4ECE91" w14:textId="77777777" w:rsidR="009E388F" w:rsidRPr="009E388F" w:rsidRDefault="00621900" w:rsidP="003A1CB7">
      <w:pPr>
        <w:pStyle w:val="Odlomakpopisa"/>
        <w:numPr>
          <w:ilvl w:val="0"/>
          <w:numId w:val="10"/>
        </w:numPr>
        <w:tabs>
          <w:tab w:val="left" w:pos="709"/>
        </w:tabs>
        <w:spacing w:before="60" w:after="60"/>
        <w:rPr>
          <w:b/>
          <w:bCs/>
        </w:rPr>
      </w:pPr>
      <w:r w:rsidRPr="00952BB6">
        <w:t xml:space="preserve">Specifični cilj OPKK 5a1.2.: </w:t>
      </w:r>
      <w:r w:rsidR="00C80AA3">
        <w:t xml:space="preserve">MZOZT (tadašnji </w:t>
      </w:r>
      <w:r w:rsidR="00E54B2A" w:rsidRPr="00952BB6">
        <w:t>MINGOR</w:t>
      </w:r>
      <w:r w:rsidR="00C80AA3">
        <w:t>)</w:t>
      </w:r>
      <w:r w:rsidR="00E54B2A" w:rsidRPr="00952BB6">
        <w:t xml:space="preserve"> je u 2019. godini iz OPKK objavio otvoreni poziv na dostavu projektnih p</w:t>
      </w:r>
      <w:r w:rsidR="00FA3CBB" w:rsidRPr="00952BB6">
        <w:t>rijedloga</w:t>
      </w:r>
      <w:r w:rsidR="00E54B2A" w:rsidRPr="00952BB6">
        <w:t xml:space="preserve"> pod nazivom </w:t>
      </w:r>
      <w:r w:rsidR="00E54B2A" w:rsidRPr="00952BB6">
        <w:rPr>
          <w:i/>
        </w:rPr>
        <w:t>„Shema za jačanje primijenjenih istraživanja za mjere prilagodbe klimatskih promjena“</w:t>
      </w:r>
      <w:r w:rsidR="00E54B2A" w:rsidRPr="00952BB6">
        <w:t>. Predmet Poziva je bio potaknuti poboljšanje kvalitete i raspoloživosti podataka iz područja klime, jačanjem znanstvenih istraživanja o mogućnostima prilagodbe klimatskim promjenama (jačanje otpornosti) u R</w:t>
      </w:r>
      <w:r w:rsidR="00FA3CBB" w:rsidRPr="00952BB6">
        <w:t>epublici Hrvatskoj. Svrha</w:t>
      </w:r>
      <w:r w:rsidR="00E54B2A" w:rsidRPr="00952BB6">
        <w:t xml:space="preserve"> Poziva je bio pružiti potporu provedbi primijenjenih istraživanja za mjere prilagodbe klimatskim promjenama u ranjivim i/ili transverzalnim sektorima iz Sedmog nacionalnog izvješća Republike Hrvatske prema Okvirnoj konvenciji Ujedinjenih naroda o promjeni klime. Odobreno je 25 znanstvenih projekata za koje je Fond dodatno osigurao nacionalnu komponentu do 15</w:t>
      </w:r>
      <w:r w:rsidR="00CE2ACB">
        <w:t xml:space="preserve"> </w:t>
      </w:r>
      <w:r w:rsidR="00E54B2A" w:rsidRPr="00952BB6">
        <w:t>% opravdanih troškova. Realizacija projekat</w:t>
      </w:r>
      <w:r w:rsidR="00681176" w:rsidRPr="00952BB6">
        <w:t>a je započeta u 202</w:t>
      </w:r>
      <w:r w:rsidR="00A80991" w:rsidRPr="00952BB6">
        <w:t>0</w:t>
      </w:r>
      <w:r w:rsidR="00C80AA3">
        <w:t xml:space="preserve">., a projekti su u potpunosti realizirani do konca 2023. </w:t>
      </w:r>
    </w:p>
    <w:p w14:paraId="1D98B582" w14:textId="2EFF789A" w:rsidR="00DA7D75" w:rsidRPr="00A10C1D" w:rsidRDefault="009E388F" w:rsidP="003A1CB7">
      <w:pPr>
        <w:pStyle w:val="Odlomakpopisa"/>
        <w:numPr>
          <w:ilvl w:val="2"/>
          <w:numId w:val="10"/>
        </w:numPr>
        <w:tabs>
          <w:tab w:val="left" w:pos="709"/>
        </w:tabs>
        <w:spacing w:before="60" w:after="60"/>
        <w:rPr>
          <w:u w:val="single"/>
        </w:rPr>
      </w:pPr>
      <w:r w:rsidRPr="00A10C1D">
        <w:rPr>
          <w:u w:val="single"/>
        </w:rPr>
        <w:t>Ukupno je za</w:t>
      </w:r>
      <w:r w:rsidR="003E1BEE" w:rsidRPr="00A10C1D">
        <w:rPr>
          <w:u w:val="single"/>
        </w:rPr>
        <w:t xml:space="preserve"> </w:t>
      </w:r>
      <w:r w:rsidR="00185451" w:rsidRPr="00A10C1D">
        <w:rPr>
          <w:b/>
          <w:bCs/>
          <w:u w:val="single"/>
        </w:rPr>
        <w:t>2</w:t>
      </w:r>
      <w:r w:rsidR="00C80AA3" w:rsidRPr="00A10C1D">
        <w:rPr>
          <w:b/>
          <w:bCs/>
          <w:u w:val="single"/>
        </w:rPr>
        <w:t>5</w:t>
      </w:r>
      <w:r w:rsidR="00E54B2A" w:rsidRPr="00A10C1D">
        <w:rPr>
          <w:b/>
          <w:bCs/>
          <w:u w:val="single"/>
        </w:rPr>
        <w:t xml:space="preserve"> </w:t>
      </w:r>
      <w:r w:rsidR="00E54B2A" w:rsidRPr="00A10C1D">
        <w:rPr>
          <w:u w:val="single"/>
        </w:rPr>
        <w:t>projek</w:t>
      </w:r>
      <w:r w:rsidR="00C80AA3" w:rsidRPr="00A10C1D">
        <w:rPr>
          <w:u w:val="single"/>
        </w:rPr>
        <w:t>a</w:t>
      </w:r>
      <w:r w:rsidR="00E54B2A" w:rsidRPr="00A10C1D">
        <w:rPr>
          <w:u w:val="single"/>
        </w:rPr>
        <w:t>t</w:t>
      </w:r>
      <w:r w:rsidR="006C4958" w:rsidRPr="00A10C1D">
        <w:rPr>
          <w:u w:val="single"/>
        </w:rPr>
        <w:t>a</w:t>
      </w:r>
      <w:r w:rsidR="00C80AA3" w:rsidRPr="00A10C1D">
        <w:rPr>
          <w:u w:val="single"/>
        </w:rPr>
        <w:t xml:space="preserve"> </w:t>
      </w:r>
      <w:r w:rsidR="007D48C6" w:rsidRPr="00A10C1D">
        <w:rPr>
          <w:u w:val="single"/>
        </w:rPr>
        <w:t>i</w:t>
      </w:r>
      <w:r w:rsidR="00E54B2A" w:rsidRPr="00A10C1D">
        <w:rPr>
          <w:u w:val="single"/>
        </w:rPr>
        <w:t>splaćen</w:t>
      </w:r>
      <w:r w:rsidR="007D48C6" w:rsidRPr="00A10C1D">
        <w:rPr>
          <w:u w:val="single"/>
        </w:rPr>
        <w:t>o</w:t>
      </w:r>
      <w:r w:rsidR="00C80AA3" w:rsidRPr="00A10C1D">
        <w:rPr>
          <w:u w:val="single"/>
        </w:rPr>
        <w:t xml:space="preserve"> </w:t>
      </w:r>
      <w:r w:rsidR="00C80AA3" w:rsidRPr="00A10C1D">
        <w:rPr>
          <w:b/>
          <w:bCs/>
          <w:u w:val="single"/>
        </w:rPr>
        <w:t>376.036,80 EUR</w:t>
      </w:r>
      <w:r w:rsidR="007E1E7C" w:rsidRPr="00A10C1D">
        <w:rPr>
          <w:u w:val="single"/>
        </w:rPr>
        <w:t>.</w:t>
      </w:r>
    </w:p>
    <w:p w14:paraId="55B5EBA6" w14:textId="77777777" w:rsidR="007D48C6" w:rsidRPr="00952BB6" w:rsidRDefault="007D48C6" w:rsidP="007D48C6">
      <w:pPr>
        <w:pStyle w:val="Odlomakpopisa"/>
        <w:tabs>
          <w:tab w:val="left" w:pos="709"/>
        </w:tabs>
        <w:spacing w:before="60" w:after="60"/>
        <w:ind w:left="2160"/>
        <w:rPr>
          <w:b/>
          <w:bCs/>
        </w:rPr>
      </w:pPr>
    </w:p>
    <w:p w14:paraId="1B9B2D21" w14:textId="77777777" w:rsidR="007D48C6" w:rsidRPr="007D48C6" w:rsidRDefault="00984ECE" w:rsidP="003A1CB7">
      <w:pPr>
        <w:pStyle w:val="Odlomakpopisa"/>
        <w:numPr>
          <w:ilvl w:val="0"/>
          <w:numId w:val="10"/>
        </w:numPr>
        <w:tabs>
          <w:tab w:val="left" w:pos="709"/>
        </w:tabs>
        <w:spacing w:before="60" w:after="60"/>
        <w:rPr>
          <w:b/>
        </w:rPr>
      </w:pPr>
      <w:r w:rsidRPr="00952BB6">
        <w:t>Specifični cilj O</w:t>
      </w:r>
      <w:r w:rsidR="00FA3CBB" w:rsidRPr="00952BB6">
        <w:t>PKK 6e1.1. Projekt modernizacija i nadogradnja</w:t>
      </w:r>
      <w:r w:rsidRPr="00952BB6">
        <w:t xml:space="preserve"> državne mreže za trajno praćenje kvalitete zraka</w:t>
      </w:r>
      <w:r w:rsidR="00B002DB" w:rsidRPr="00952BB6">
        <w:t xml:space="preserve"> – AIRQ,</w:t>
      </w:r>
      <w:r w:rsidR="001767A5" w:rsidRPr="00952BB6">
        <w:t xml:space="preserve"> </w:t>
      </w:r>
      <w:r w:rsidR="00CE2ACB">
        <w:t>kojeg je proveo</w:t>
      </w:r>
      <w:r w:rsidR="001767A5" w:rsidRPr="00952BB6">
        <w:t xml:space="preserve"> Državn</w:t>
      </w:r>
      <w:r w:rsidR="00CE2ACB">
        <w:t>i</w:t>
      </w:r>
      <w:r w:rsidR="001767A5" w:rsidRPr="00952BB6">
        <w:t xml:space="preserve"> hidrometeorološk</w:t>
      </w:r>
      <w:r w:rsidR="00CE2ACB">
        <w:t>i</w:t>
      </w:r>
      <w:r w:rsidR="001767A5" w:rsidRPr="00952BB6">
        <w:t xml:space="preserve"> zavod,</w:t>
      </w:r>
      <w:r w:rsidR="006543E5" w:rsidRPr="00952BB6">
        <w:t xml:space="preserve"> </w:t>
      </w:r>
      <w:r w:rsidR="009642E9" w:rsidRPr="00952BB6">
        <w:t xml:space="preserve">a partner na projektu je </w:t>
      </w:r>
      <w:r w:rsidR="007A7FEC">
        <w:t xml:space="preserve">bio </w:t>
      </w:r>
      <w:r w:rsidR="009642E9" w:rsidRPr="00952BB6">
        <w:t xml:space="preserve">Institut za medicinska istraživanja i medicinu rada. Projektom </w:t>
      </w:r>
      <w:r w:rsidR="00CE2ACB">
        <w:t>je</w:t>
      </w:r>
      <w:r w:rsidR="009642E9" w:rsidRPr="00952BB6">
        <w:t xml:space="preserve"> uspostav</w:t>
      </w:r>
      <w:r w:rsidR="00CE2ACB">
        <w:t>ljen</w:t>
      </w:r>
      <w:r w:rsidR="009642E9" w:rsidRPr="00952BB6">
        <w:t xml:space="preserve"> odgovarajući sustav za praćenje i upravljanje onečišćenjem zraka prema zahtjevima Direktive 2008/50/EZ o čistom zraku za Europu zamjenom dotrajale opreme </w:t>
      </w:r>
      <w:r w:rsidR="00FA3CBB" w:rsidRPr="00952BB6">
        <w:t>na 1</w:t>
      </w:r>
      <w:r w:rsidR="007A7FEC">
        <w:t>4</w:t>
      </w:r>
      <w:r w:rsidR="00FA3CBB" w:rsidRPr="00952BB6">
        <w:t xml:space="preserve"> mjernih postaja </w:t>
      </w:r>
      <w:r w:rsidR="009642E9" w:rsidRPr="00952BB6">
        <w:t xml:space="preserve">te </w:t>
      </w:r>
      <w:r w:rsidR="00FA3CBB" w:rsidRPr="00952BB6">
        <w:t>uspostav</w:t>
      </w:r>
      <w:r w:rsidR="007A7FEC">
        <w:t>ljanjem</w:t>
      </w:r>
      <w:r w:rsidR="00FA3CBB" w:rsidRPr="00952BB6">
        <w:t xml:space="preserve"> </w:t>
      </w:r>
      <w:r w:rsidR="007A7FEC">
        <w:t>5</w:t>
      </w:r>
      <w:r w:rsidR="00FA3CBB" w:rsidRPr="00952BB6">
        <w:t xml:space="preserve"> nov</w:t>
      </w:r>
      <w:r w:rsidR="006C4958" w:rsidRPr="00952BB6">
        <w:t>ih</w:t>
      </w:r>
      <w:r w:rsidR="00FA3CBB" w:rsidRPr="00952BB6">
        <w:t xml:space="preserve"> mjern</w:t>
      </w:r>
      <w:r w:rsidR="006C4958" w:rsidRPr="00952BB6">
        <w:t>ih</w:t>
      </w:r>
      <w:r w:rsidR="00FA3CBB" w:rsidRPr="00952BB6">
        <w:t xml:space="preserve"> mjesta čime </w:t>
      </w:r>
      <w:r w:rsidR="007A7FEC">
        <w:t>je</w:t>
      </w:r>
      <w:r w:rsidR="00FA3CBB" w:rsidRPr="00952BB6">
        <w:t xml:space="preserve"> osigura</w:t>
      </w:r>
      <w:r w:rsidR="007A7FEC">
        <w:t>na</w:t>
      </w:r>
      <w:r w:rsidR="00FA3CBB" w:rsidRPr="00952BB6">
        <w:t xml:space="preserve"> funkcionalnost i dovoljan broj</w:t>
      </w:r>
      <w:r w:rsidR="009642E9" w:rsidRPr="00952BB6">
        <w:t xml:space="preserve"> mjernih mjesta sa ciljem ispunjenja međunarodnih obveza.</w:t>
      </w:r>
      <w:r w:rsidR="00123D3D" w:rsidRPr="00952BB6">
        <w:t xml:space="preserve"> </w:t>
      </w:r>
    </w:p>
    <w:p w14:paraId="78A6A907" w14:textId="0618F85C" w:rsidR="009642E9" w:rsidRDefault="007D48C6" w:rsidP="003A1CB7">
      <w:pPr>
        <w:pStyle w:val="Odlomakpopisa"/>
        <w:numPr>
          <w:ilvl w:val="2"/>
          <w:numId w:val="10"/>
        </w:numPr>
        <w:tabs>
          <w:tab w:val="left" w:pos="709"/>
        </w:tabs>
        <w:spacing w:before="60" w:after="60"/>
        <w:rPr>
          <w:b/>
          <w:u w:val="single"/>
        </w:rPr>
      </w:pPr>
      <w:r w:rsidRPr="00A10C1D">
        <w:rPr>
          <w:u w:val="single"/>
        </w:rPr>
        <w:t xml:space="preserve">Ukupno je </w:t>
      </w:r>
      <w:r w:rsidR="00123D3D" w:rsidRPr="00A10C1D">
        <w:rPr>
          <w:u w:val="single"/>
        </w:rPr>
        <w:t>u 202</w:t>
      </w:r>
      <w:r w:rsidR="00913691" w:rsidRPr="00A10C1D">
        <w:rPr>
          <w:u w:val="single"/>
        </w:rPr>
        <w:t>3</w:t>
      </w:r>
      <w:r w:rsidR="00123D3D" w:rsidRPr="00A10C1D">
        <w:rPr>
          <w:u w:val="single"/>
        </w:rPr>
        <w:t>.</w:t>
      </w:r>
      <w:r w:rsidR="006C4958" w:rsidRPr="00A10C1D">
        <w:rPr>
          <w:u w:val="single"/>
        </w:rPr>
        <w:t xml:space="preserve"> i 202</w:t>
      </w:r>
      <w:r w:rsidR="00913691" w:rsidRPr="00A10C1D">
        <w:rPr>
          <w:u w:val="single"/>
        </w:rPr>
        <w:t>4</w:t>
      </w:r>
      <w:r w:rsidR="006C4958" w:rsidRPr="00A10C1D">
        <w:rPr>
          <w:u w:val="single"/>
        </w:rPr>
        <w:t>.</w:t>
      </w:r>
      <w:r w:rsidR="00123D3D" w:rsidRPr="00A10C1D">
        <w:rPr>
          <w:u w:val="single"/>
        </w:rPr>
        <w:t xml:space="preserve"> </w:t>
      </w:r>
      <w:r w:rsidR="00A10C1D" w:rsidRPr="00A10C1D">
        <w:rPr>
          <w:u w:val="single"/>
        </w:rPr>
        <w:t>isplaćeno</w:t>
      </w:r>
      <w:r w:rsidR="00123D3D" w:rsidRPr="00A10C1D">
        <w:rPr>
          <w:bCs/>
          <w:u w:val="single"/>
        </w:rPr>
        <w:t xml:space="preserve"> </w:t>
      </w:r>
      <w:r w:rsidR="00096326" w:rsidRPr="00A10C1D">
        <w:rPr>
          <w:b/>
          <w:u w:val="single"/>
        </w:rPr>
        <w:t>420.041,44 EUR</w:t>
      </w:r>
      <w:r w:rsidR="00123D3D" w:rsidRPr="00A10C1D">
        <w:rPr>
          <w:b/>
          <w:u w:val="single"/>
        </w:rPr>
        <w:t>.</w:t>
      </w:r>
    </w:p>
    <w:p w14:paraId="23CC2303" w14:textId="538E941C" w:rsidR="00A10C1D" w:rsidRPr="00A10C1D" w:rsidRDefault="00A10C1D" w:rsidP="00A10C1D">
      <w:pPr>
        <w:pStyle w:val="Odlomakpopisa"/>
        <w:tabs>
          <w:tab w:val="left" w:pos="709"/>
        </w:tabs>
        <w:spacing w:before="60" w:after="60"/>
        <w:ind w:left="2160"/>
        <w:rPr>
          <w:b/>
          <w:u w:val="single"/>
        </w:rPr>
      </w:pPr>
    </w:p>
    <w:p w14:paraId="619D566F" w14:textId="77777777" w:rsidR="00096326" w:rsidRPr="00096326" w:rsidRDefault="00984ECE" w:rsidP="003A1CB7">
      <w:pPr>
        <w:pStyle w:val="Odlomakpopisa"/>
        <w:numPr>
          <w:ilvl w:val="0"/>
          <w:numId w:val="9"/>
        </w:numPr>
        <w:tabs>
          <w:tab w:val="left" w:pos="709"/>
        </w:tabs>
        <w:spacing w:before="60" w:after="60"/>
        <w:rPr>
          <w:bCs/>
        </w:rPr>
      </w:pPr>
      <w:r w:rsidRPr="00952BB6">
        <w:t>Specifični cilj OPKK 6e1.2.</w:t>
      </w:r>
      <w:r w:rsidR="005A108E" w:rsidRPr="00952BB6">
        <w:t>, projekt</w:t>
      </w:r>
      <w:r w:rsidRPr="00952BB6">
        <w:t xml:space="preserve"> </w:t>
      </w:r>
      <w:r w:rsidRPr="00A10C1D">
        <w:rPr>
          <w:i/>
          <w:iCs/>
        </w:rPr>
        <w:t>Uspostava nacionalnoga referentnog laboratorija za ispitivanje emisija iz ne-cestovnih pokretnih strojeva</w:t>
      </w:r>
      <w:r w:rsidR="002C4B21" w:rsidRPr="00952BB6">
        <w:t xml:space="preserve"> provodi Sveučilište u Zagrebu, Faku</w:t>
      </w:r>
      <w:r w:rsidR="00834875" w:rsidRPr="00952BB6">
        <w:t xml:space="preserve">ltet strojarstva i brodogradnje, koji je jedini u RH akreditiran kao ispitni laboratorij sukladno normi HRN EN ISO/IEC 17025 za mjerne metode u području određivanja emisija motora s unutarnjim izgaranjem te posjeduje ovlaštenje za obavljanje poslova u </w:t>
      </w:r>
      <w:r w:rsidR="00834875" w:rsidRPr="00952BB6">
        <w:lastRenderedPageBreak/>
        <w:t xml:space="preserve">postupku utvrđivanja sukladnosti, pregleda i ispitivanja motora s unutarnjim izgaranjem koji se ugrađuju u </w:t>
      </w:r>
      <w:proofErr w:type="spellStart"/>
      <w:r w:rsidR="00834875" w:rsidRPr="00952BB6">
        <w:t>necestovne</w:t>
      </w:r>
      <w:proofErr w:type="spellEnd"/>
      <w:r w:rsidR="00834875" w:rsidRPr="00952BB6">
        <w:t xml:space="preserve"> pokretne strojeve.</w:t>
      </w:r>
      <w:r w:rsidR="005A108E" w:rsidRPr="00952BB6">
        <w:t xml:space="preserve"> Uspostavom akreditiranog Nacionalnog referentnog laboratorija ispunit će se međunarodna obveza RH prema kojoj je potrebno uspostaviti „tehničku službu“ za provedbu ispitivanja ili za ocjenjivanje sukladnosti za provedbu prvobitne ocjene motora s unutarnjim izgaranjem.</w:t>
      </w:r>
      <w:r w:rsidR="00123D3D" w:rsidRPr="00952BB6">
        <w:t xml:space="preserve"> </w:t>
      </w:r>
    </w:p>
    <w:p w14:paraId="6911B289" w14:textId="24BFF813" w:rsidR="00A10C1D" w:rsidRDefault="00096326" w:rsidP="00A10C1D">
      <w:pPr>
        <w:pStyle w:val="Odlomakpopisa"/>
        <w:tabs>
          <w:tab w:val="left" w:pos="709"/>
        </w:tabs>
        <w:spacing w:before="60" w:after="60"/>
      </w:pPr>
      <w:r>
        <w:t xml:space="preserve">U </w:t>
      </w:r>
      <w:r w:rsidRPr="00096326">
        <w:t>cilju dovršetka Projekta, a time i uspostave funkcionalnog i akreditiranog nacionalnog referentnog laboratorija s ciljem ispunjavanja međunarodnih obveza RH, Projekt se podijelio u dvije faze od kojih je faza 1</w:t>
      </w:r>
      <w:r w:rsidR="00754862">
        <w:t>.</w:t>
      </w:r>
      <w:r w:rsidRPr="00096326">
        <w:t xml:space="preserve"> realizirana do konca 2023. te je Fond završna plaćanja izvršio prema korisniku u 2024. godini</w:t>
      </w:r>
      <w:r w:rsidR="00A10C1D">
        <w:t>.</w:t>
      </w:r>
      <w:r>
        <w:t xml:space="preserve"> </w:t>
      </w:r>
      <w:r w:rsidR="00754862">
        <w:t>Realizacija f</w:t>
      </w:r>
      <w:r w:rsidRPr="00096326">
        <w:t>az</w:t>
      </w:r>
      <w:r w:rsidR="00754862">
        <w:t>e</w:t>
      </w:r>
      <w:r w:rsidRPr="00096326">
        <w:t xml:space="preserve"> 2</w:t>
      </w:r>
      <w:r w:rsidR="00754862">
        <w:t>.</w:t>
      </w:r>
      <w:r w:rsidRPr="00096326">
        <w:t xml:space="preserve"> projekta planirana </w:t>
      </w:r>
      <w:r w:rsidR="00754862">
        <w:t>je uz korištenje</w:t>
      </w:r>
      <w:r w:rsidRPr="00096326">
        <w:t xml:space="preserve"> EU sredstava iz PKK 2021 – 2027, a nacionalna komponenta putem Fonda.</w:t>
      </w:r>
    </w:p>
    <w:p w14:paraId="5DB3B3E1" w14:textId="0980BB69" w:rsidR="00A10C1D" w:rsidRPr="00A10C1D" w:rsidRDefault="00A10C1D" w:rsidP="00077A5D">
      <w:pPr>
        <w:pStyle w:val="Odlomakpopisa"/>
        <w:numPr>
          <w:ilvl w:val="0"/>
          <w:numId w:val="26"/>
        </w:numPr>
        <w:tabs>
          <w:tab w:val="left" w:pos="709"/>
        </w:tabs>
        <w:spacing w:before="60" w:after="60"/>
        <w:ind w:left="2268"/>
        <w:rPr>
          <w:u w:val="single"/>
        </w:rPr>
      </w:pPr>
      <w:r w:rsidRPr="00A10C1D">
        <w:rPr>
          <w:u w:val="single"/>
        </w:rPr>
        <w:t xml:space="preserve">Ukupno je u 2023. i 2024. isplaćeno </w:t>
      </w:r>
      <w:r w:rsidRPr="00A10C1D">
        <w:rPr>
          <w:b/>
          <w:bCs/>
          <w:u w:val="single"/>
        </w:rPr>
        <w:t>941.610,10 EUR.</w:t>
      </w:r>
    </w:p>
    <w:p w14:paraId="30995C81" w14:textId="77777777" w:rsidR="00A10C1D" w:rsidRDefault="00A10C1D" w:rsidP="00A10C1D">
      <w:pPr>
        <w:pStyle w:val="Odlomakpopisa"/>
        <w:tabs>
          <w:tab w:val="left" w:pos="709"/>
        </w:tabs>
        <w:spacing w:before="60" w:after="60"/>
        <w:ind w:left="2268"/>
      </w:pPr>
    </w:p>
    <w:p w14:paraId="4C85949F" w14:textId="77777777" w:rsidR="00A10C1D" w:rsidRPr="00A10C1D" w:rsidRDefault="00C448D9" w:rsidP="003A1CB7">
      <w:pPr>
        <w:pStyle w:val="Odlomakpopisa"/>
        <w:numPr>
          <w:ilvl w:val="0"/>
          <w:numId w:val="9"/>
        </w:numPr>
        <w:tabs>
          <w:tab w:val="left" w:pos="709"/>
        </w:tabs>
        <w:spacing w:before="60" w:after="60"/>
        <w:rPr>
          <w:bCs/>
        </w:rPr>
      </w:pPr>
      <w:r w:rsidRPr="00952BB6">
        <w:t>Specifični cilj OPKK 6c2.: Promicanje održivog korištenja prirodne baštine u nacionalnim parkovima i parkovima prirode</w:t>
      </w:r>
      <w:r w:rsidRPr="00952BB6">
        <w:rPr>
          <w:b/>
          <w:bCs/>
        </w:rPr>
        <w:t xml:space="preserve">, </w:t>
      </w:r>
      <w:r w:rsidR="00360B36">
        <w:rPr>
          <w:b/>
          <w:bCs/>
        </w:rPr>
        <w:t>6</w:t>
      </w:r>
      <w:r w:rsidRPr="00952BB6">
        <w:rPr>
          <w:b/>
          <w:bCs/>
        </w:rPr>
        <w:t xml:space="preserve"> projekata </w:t>
      </w:r>
      <w:r w:rsidRPr="00952BB6">
        <w:t xml:space="preserve">kojega provode javne ustanove parkovi prirode i nacionalni parkovi, a koji obuhvaćaju ulaganja u izgradnju </w:t>
      </w:r>
      <w:proofErr w:type="spellStart"/>
      <w:r w:rsidRPr="00952BB6">
        <w:t>posjetiteljske</w:t>
      </w:r>
      <w:proofErr w:type="spellEnd"/>
      <w:r w:rsidRPr="00952BB6">
        <w:t xml:space="preserve"> infrastrukture, edukativne i prezentacijske sadržaje u cilju održivog korištenja prirodne baštine. </w:t>
      </w:r>
    </w:p>
    <w:p w14:paraId="5183C297" w14:textId="265579C3" w:rsidR="00C448D9" w:rsidRPr="00A10C1D" w:rsidRDefault="00A10C1D" w:rsidP="003A1CB7">
      <w:pPr>
        <w:pStyle w:val="Odlomakpopisa"/>
        <w:numPr>
          <w:ilvl w:val="2"/>
          <w:numId w:val="9"/>
        </w:numPr>
        <w:tabs>
          <w:tab w:val="left" w:pos="709"/>
        </w:tabs>
        <w:spacing w:before="60" w:after="60"/>
        <w:rPr>
          <w:bCs/>
          <w:u w:val="single"/>
        </w:rPr>
      </w:pPr>
      <w:r w:rsidRPr="00A10C1D">
        <w:rPr>
          <w:u w:val="single"/>
        </w:rPr>
        <w:t>Ukupno je</w:t>
      </w:r>
      <w:r w:rsidR="00C448D9" w:rsidRPr="00A10C1D">
        <w:rPr>
          <w:u w:val="single"/>
        </w:rPr>
        <w:t xml:space="preserve"> u 202</w:t>
      </w:r>
      <w:r w:rsidR="00360B36" w:rsidRPr="00A10C1D">
        <w:rPr>
          <w:u w:val="single"/>
        </w:rPr>
        <w:t>3</w:t>
      </w:r>
      <w:r w:rsidR="006C4958" w:rsidRPr="00A10C1D">
        <w:rPr>
          <w:u w:val="single"/>
        </w:rPr>
        <w:t>. i 202</w:t>
      </w:r>
      <w:r w:rsidR="00360B36" w:rsidRPr="00A10C1D">
        <w:rPr>
          <w:u w:val="single"/>
        </w:rPr>
        <w:t>4</w:t>
      </w:r>
      <w:r w:rsidR="00C448D9" w:rsidRPr="00A10C1D">
        <w:rPr>
          <w:u w:val="single"/>
        </w:rPr>
        <w:t xml:space="preserve">. za </w:t>
      </w:r>
      <w:r w:rsidR="00360B36" w:rsidRPr="00A10C1D">
        <w:rPr>
          <w:b/>
          <w:bCs/>
          <w:u w:val="single"/>
        </w:rPr>
        <w:t>6</w:t>
      </w:r>
      <w:r w:rsidR="00C448D9" w:rsidRPr="00A10C1D">
        <w:rPr>
          <w:b/>
          <w:bCs/>
          <w:u w:val="single"/>
        </w:rPr>
        <w:t xml:space="preserve"> </w:t>
      </w:r>
      <w:r w:rsidR="00C448D9" w:rsidRPr="00A10C1D">
        <w:rPr>
          <w:u w:val="single"/>
        </w:rPr>
        <w:t xml:space="preserve">projekata </w:t>
      </w:r>
      <w:r w:rsidRPr="00A10C1D">
        <w:rPr>
          <w:u w:val="single"/>
        </w:rPr>
        <w:t>isplaćeno</w:t>
      </w:r>
      <w:r w:rsidR="00C448D9" w:rsidRPr="00A10C1D">
        <w:rPr>
          <w:bCs/>
          <w:u w:val="single"/>
        </w:rPr>
        <w:t xml:space="preserve"> </w:t>
      </w:r>
      <w:r w:rsidR="00360B36" w:rsidRPr="00A10C1D">
        <w:rPr>
          <w:b/>
          <w:u w:val="single"/>
        </w:rPr>
        <w:t>333.464,38 EUR</w:t>
      </w:r>
      <w:r w:rsidR="00C448D9" w:rsidRPr="00A10C1D">
        <w:rPr>
          <w:bCs/>
          <w:u w:val="single"/>
        </w:rPr>
        <w:t>.</w:t>
      </w:r>
    </w:p>
    <w:p w14:paraId="306488B7" w14:textId="203C2B12" w:rsidR="00A10C1D" w:rsidRPr="00952BB6" w:rsidRDefault="00A10C1D" w:rsidP="00A10C1D">
      <w:pPr>
        <w:pStyle w:val="Odlomakpopisa"/>
        <w:tabs>
          <w:tab w:val="left" w:pos="709"/>
        </w:tabs>
        <w:spacing w:before="60" w:after="60"/>
        <w:ind w:left="2160"/>
        <w:rPr>
          <w:bCs/>
        </w:rPr>
      </w:pPr>
    </w:p>
    <w:p w14:paraId="5CF3F40E" w14:textId="32B9A82F" w:rsidR="0047560A" w:rsidRDefault="00A10C1D" w:rsidP="00077A5D">
      <w:pPr>
        <w:pStyle w:val="Odlomakpopisa"/>
        <w:numPr>
          <w:ilvl w:val="0"/>
          <w:numId w:val="27"/>
        </w:numPr>
        <w:tabs>
          <w:tab w:val="left" w:pos="709"/>
        </w:tabs>
        <w:spacing w:before="60" w:after="60"/>
      </w:pPr>
      <w:r>
        <w:t xml:space="preserve">U okviru </w:t>
      </w:r>
      <w:r w:rsidR="00C448D9" w:rsidRPr="00952BB6">
        <w:t>Specifičn</w:t>
      </w:r>
      <w:r>
        <w:t>og</w:t>
      </w:r>
      <w:r w:rsidR="00C448D9" w:rsidRPr="00952BB6">
        <w:t xml:space="preserve"> cilj</w:t>
      </w:r>
      <w:r>
        <w:t>a</w:t>
      </w:r>
      <w:r w:rsidR="00C448D9" w:rsidRPr="00952BB6">
        <w:t xml:space="preserve"> OPKK 6iii1</w:t>
      </w:r>
      <w:r>
        <w:t>, provedena su tri projekta:</w:t>
      </w:r>
      <w:r w:rsidR="00C448D9" w:rsidRPr="00952BB6">
        <w:t xml:space="preserve"> </w:t>
      </w:r>
    </w:p>
    <w:p w14:paraId="61AA5A1A" w14:textId="1474228A" w:rsidR="00C448D9" w:rsidRPr="00952BB6" w:rsidRDefault="00B41E80" w:rsidP="003A1CB7">
      <w:pPr>
        <w:pStyle w:val="Odlomakpopisa"/>
        <w:numPr>
          <w:ilvl w:val="0"/>
          <w:numId w:val="8"/>
        </w:numPr>
        <w:tabs>
          <w:tab w:val="left" w:pos="709"/>
        </w:tabs>
        <w:spacing w:before="60" w:after="60"/>
      </w:pPr>
      <w:r w:rsidRPr="00A10C1D">
        <w:rPr>
          <w:rFonts w:eastAsia="Times New Roman"/>
          <w:i/>
          <w:iCs/>
          <w:lang w:eastAsia="hr-HR"/>
        </w:rPr>
        <w:t xml:space="preserve">Kartiranje obalnih i </w:t>
      </w:r>
      <w:proofErr w:type="spellStart"/>
      <w:r w:rsidRPr="00A10C1D">
        <w:rPr>
          <w:rFonts w:eastAsia="Times New Roman"/>
          <w:i/>
          <w:iCs/>
          <w:lang w:eastAsia="hr-HR"/>
        </w:rPr>
        <w:t>pridnenih</w:t>
      </w:r>
      <w:proofErr w:type="spellEnd"/>
      <w:r w:rsidRPr="00A10C1D">
        <w:rPr>
          <w:rFonts w:eastAsia="Times New Roman"/>
          <w:i/>
          <w:iCs/>
          <w:lang w:eastAsia="hr-HR"/>
        </w:rPr>
        <w:t xml:space="preserve"> morskih staništa na području Jadranskog mora pod nacionalnom jurisdikcijom - KK.06.5.1.02.0001</w:t>
      </w:r>
      <w:r>
        <w:rPr>
          <w:rFonts w:eastAsia="Times New Roman"/>
          <w:i/>
          <w:iCs/>
          <w:lang w:eastAsia="hr-HR"/>
        </w:rPr>
        <w:t xml:space="preserve"> </w:t>
      </w:r>
      <w:r w:rsidR="00A10C1D">
        <w:t xml:space="preserve">podrazumijeva </w:t>
      </w:r>
      <w:r w:rsidR="00C448D9" w:rsidRPr="00952BB6">
        <w:t xml:space="preserve">kartiranje obalnih i </w:t>
      </w:r>
      <w:proofErr w:type="spellStart"/>
      <w:r w:rsidR="00C448D9" w:rsidRPr="00952BB6">
        <w:t>pridnenih</w:t>
      </w:r>
      <w:proofErr w:type="spellEnd"/>
      <w:r w:rsidR="00C448D9" w:rsidRPr="00952BB6">
        <w:t xml:space="preserve"> morskih staništa na području Jadranskog mora koji je pod jurisdikcijom RH, s ciljem izrade karte morskih staništa, kako bi se povećala dostupnost podataka o morskoj bioraznolikosti vezana uz rasprostranjenost vrsta i staništa</w:t>
      </w:r>
      <w:r w:rsidR="002E3404" w:rsidRPr="00952BB6">
        <w:t xml:space="preserve"> za što je isplaćeno </w:t>
      </w:r>
      <w:r w:rsidR="00656219" w:rsidRPr="0047560A">
        <w:rPr>
          <w:b/>
          <w:bCs/>
        </w:rPr>
        <w:t>413.619,11 EUR</w:t>
      </w:r>
      <w:r w:rsidR="00656219">
        <w:t>.</w:t>
      </w:r>
    </w:p>
    <w:p w14:paraId="5F4F82E4" w14:textId="1526DF05" w:rsidR="00C448D9" w:rsidRPr="00952BB6" w:rsidRDefault="00A10C1D" w:rsidP="003A1CB7">
      <w:pPr>
        <w:pStyle w:val="Odlomakpopisa"/>
        <w:numPr>
          <w:ilvl w:val="0"/>
          <w:numId w:val="8"/>
        </w:numPr>
        <w:tabs>
          <w:tab w:val="left" w:pos="709"/>
        </w:tabs>
        <w:spacing w:before="60" w:after="60"/>
      </w:pPr>
      <w:r w:rsidRPr="00A10C1D">
        <w:rPr>
          <w:rFonts w:eastAsia="Times New Roman"/>
          <w:i/>
          <w:iCs/>
          <w:lang w:eastAsia="hr-HR"/>
        </w:rPr>
        <w:t>Razvoj sustava praćenja stanja očuvanosti vrsta i stanišnih tipova KK.06.5.1.03.0001</w:t>
      </w:r>
      <w:r w:rsidRPr="00952BB6">
        <w:rPr>
          <w:rFonts w:eastAsia="Times New Roman"/>
          <w:lang w:eastAsia="hr-HR"/>
        </w:rPr>
        <w:t xml:space="preserve"> </w:t>
      </w:r>
      <w:r>
        <w:t>podrazumijeva</w:t>
      </w:r>
      <w:r w:rsidRPr="00A10C1D">
        <w:t xml:space="preserve"> </w:t>
      </w:r>
      <w:r w:rsidR="00C448D9" w:rsidRPr="00952BB6">
        <w:t xml:space="preserve">razvoj ključnih elemenata sustava praćenja i izvješćivanja o stanju očuvanosti vrsta i stanišnih tipova u svrhu ispunjavanja obveza iz pravne stečevine EU, prvenstveno Direktive o pticama i Direktive o staništima </w:t>
      </w:r>
      <w:r w:rsidR="002E3404" w:rsidRPr="00952BB6">
        <w:t xml:space="preserve">za što je isplaćeno </w:t>
      </w:r>
      <w:r w:rsidR="00656219" w:rsidRPr="00A10C1D">
        <w:rPr>
          <w:b/>
          <w:bCs/>
        </w:rPr>
        <w:t>663.617,30 EUR</w:t>
      </w:r>
      <w:r w:rsidR="002E3404" w:rsidRPr="00952BB6">
        <w:t>.</w:t>
      </w:r>
      <w:r w:rsidR="00712993">
        <w:t xml:space="preserve"> Projekt je u potpunosti realiziran do konca 2024.</w:t>
      </w:r>
    </w:p>
    <w:p w14:paraId="7EF1987E" w14:textId="094E1FBB" w:rsidR="00C448D9" w:rsidRDefault="0047560A" w:rsidP="003A1CB7">
      <w:pPr>
        <w:pStyle w:val="Odlomakpopisa"/>
        <w:numPr>
          <w:ilvl w:val="0"/>
          <w:numId w:val="8"/>
        </w:numPr>
        <w:tabs>
          <w:tab w:val="left" w:pos="709"/>
        </w:tabs>
        <w:spacing w:before="60" w:after="60"/>
      </w:pPr>
      <w:r w:rsidRPr="0047560A">
        <w:rPr>
          <w:rFonts w:eastAsia="Times New Roman"/>
          <w:i/>
          <w:iCs/>
          <w:lang w:eastAsia="hr-HR"/>
        </w:rPr>
        <w:t>Evidentiranje posebnog pravnog režima kao doprinos upravljanju zaštićenim područjima</w:t>
      </w:r>
      <w:r w:rsidRPr="00952BB6">
        <w:t xml:space="preserve"> </w:t>
      </w:r>
      <w:r>
        <w:t xml:space="preserve">je </w:t>
      </w:r>
      <w:r w:rsidR="00C448D9" w:rsidRPr="00952BB6">
        <w:t>p</w:t>
      </w:r>
      <w:r w:rsidR="00C448D9" w:rsidRPr="00952BB6">
        <w:rPr>
          <w:iCs/>
        </w:rPr>
        <w:t>rojekt kojim se katastarskim izmjerama zemljišta unutar granica nacionalnih parkova izradi</w:t>
      </w:r>
      <w:r w:rsidR="00712993">
        <w:rPr>
          <w:iCs/>
        </w:rPr>
        <w:t>la</w:t>
      </w:r>
      <w:r w:rsidR="00C448D9" w:rsidRPr="00952BB6">
        <w:rPr>
          <w:iCs/>
        </w:rPr>
        <w:t xml:space="preserve"> kvalitetn</w:t>
      </w:r>
      <w:r w:rsidR="00712993">
        <w:rPr>
          <w:iCs/>
        </w:rPr>
        <w:t>a</w:t>
      </w:r>
      <w:r w:rsidR="00C448D9" w:rsidRPr="00952BB6">
        <w:rPr>
          <w:iCs/>
        </w:rPr>
        <w:t xml:space="preserve"> geodetsko-katastarsk</w:t>
      </w:r>
      <w:r w:rsidR="00712993">
        <w:rPr>
          <w:iCs/>
        </w:rPr>
        <w:t>a</w:t>
      </w:r>
      <w:r w:rsidR="00C448D9" w:rsidRPr="00952BB6">
        <w:rPr>
          <w:iCs/>
        </w:rPr>
        <w:t xml:space="preserve"> podlog</w:t>
      </w:r>
      <w:r w:rsidR="00712993">
        <w:rPr>
          <w:iCs/>
        </w:rPr>
        <w:t>a</w:t>
      </w:r>
      <w:r w:rsidR="00C448D9" w:rsidRPr="00952BB6">
        <w:rPr>
          <w:iCs/>
        </w:rPr>
        <w:t xml:space="preserve"> kao tehnički preduvjeti za učinkovito prostorno planiranje i projektiranje te uređivanje vlasničkih odnosa kao i označavanje granica nacionalnih parkova i parkova prirode na terenu vidljivim i trajnim oznakama</w:t>
      </w:r>
      <w:r w:rsidR="00F65F79" w:rsidRPr="00952BB6">
        <w:rPr>
          <w:iCs/>
        </w:rPr>
        <w:t xml:space="preserve"> </w:t>
      </w:r>
      <w:r w:rsidR="00712993" w:rsidRPr="0047560A">
        <w:rPr>
          <w:b/>
          <w:bCs/>
          <w:iCs/>
        </w:rPr>
        <w:t>171.392,03 EUR</w:t>
      </w:r>
      <w:r w:rsidR="002E3404" w:rsidRPr="00952BB6">
        <w:rPr>
          <w:iCs/>
        </w:rPr>
        <w:t>.</w:t>
      </w:r>
      <w:r w:rsidR="00712993" w:rsidRPr="00712993">
        <w:t xml:space="preserve"> </w:t>
      </w:r>
      <w:r w:rsidR="00712993">
        <w:t>Projekt je u potpunosti realiziran do k</w:t>
      </w:r>
      <w:r w:rsidR="006225DE">
        <w:t>raja</w:t>
      </w:r>
      <w:r w:rsidR="00712993">
        <w:t xml:space="preserve"> 2023.</w:t>
      </w:r>
    </w:p>
    <w:p w14:paraId="6FEFE78D" w14:textId="59D0E1B6" w:rsidR="00A10C1D" w:rsidRPr="0047560A" w:rsidRDefault="00A10C1D" w:rsidP="003A1CB7">
      <w:pPr>
        <w:pStyle w:val="Odlomakpopisa"/>
        <w:numPr>
          <w:ilvl w:val="2"/>
          <w:numId w:val="8"/>
        </w:numPr>
        <w:tabs>
          <w:tab w:val="left" w:pos="709"/>
        </w:tabs>
        <w:spacing w:before="60" w:after="60"/>
        <w:rPr>
          <w:u w:val="single"/>
        </w:rPr>
      </w:pPr>
      <w:r w:rsidRPr="00A10C1D">
        <w:rPr>
          <w:u w:val="single"/>
        </w:rPr>
        <w:t>Ukupno je isplaćeno</w:t>
      </w:r>
      <w:r w:rsidRPr="00A10C1D">
        <w:rPr>
          <w:b/>
          <w:bCs/>
          <w:u w:val="single"/>
        </w:rPr>
        <w:t xml:space="preserve"> 1.248.628,44 EUR</w:t>
      </w:r>
    </w:p>
    <w:p w14:paraId="1E35B53C" w14:textId="77777777" w:rsidR="0047560A" w:rsidRPr="00A10C1D" w:rsidRDefault="0047560A" w:rsidP="0047560A">
      <w:pPr>
        <w:pStyle w:val="Odlomakpopisa"/>
        <w:tabs>
          <w:tab w:val="left" w:pos="709"/>
        </w:tabs>
        <w:spacing w:before="60" w:after="60"/>
        <w:ind w:left="2520"/>
        <w:rPr>
          <w:u w:val="single"/>
        </w:rPr>
      </w:pPr>
    </w:p>
    <w:p w14:paraId="157419AE" w14:textId="46549A66" w:rsidR="00C448D9" w:rsidRPr="00952BB6" w:rsidRDefault="00C448D9" w:rsidP="003A1CB7">
      <w:pPr>
        <w:pStyle w:val="Odlomakpopisa"/>
        <w:numPr>
          <w:ilvl w:val="0"/>
          <w:numId w:val="11"/>
        </w:numPr>
        <w:tabs>
          <w:tab w:val="left" w:pos="709"/>
        </w:tabs>
        <w:spacing w:before="60" w:after="60"/>
      </w:pPr>
      <w:r w:rsidRPr="00952BB6">
        <w:t>Sukladno Planu</w:t>
      </w:r>
      <w:r w:rsidR="0047560A">
        <w:t xml:space="preserve"> I</w:t>
      </w:r>
      <w:r w:rsidRPr="00952BB6">
        <w:t xml:space="preserve">, u okviru prioritetne mjere ESIF, osim sufinanciranja nacionalne komponente projekata iz OPKK omogućeno je i sufinanciranje </w:t>
      </w:r>
      <w:r w:rsidRPr="00952BB6">
        <w:rPr>
          <w:b/>
          <w:bCs/>
        </w:rPr>
        <w:t xml:space="preserve">drugih prioritetnih </w:t>
      </w:r>
      <w:r w:rsidRPr="00952BB6">
        <w:rPr>
          <w:b/>
          <w:bCs/>
        </w:rPr>
        <w:lastRenderedPageBreak/>
        <w:t>mjera</w:t>
      </w:r>
      <w:r w:rsidRPr="00952BB6">
        <w:t xml:space="preserve"> prilagodbe klimatskim promjenama </w:t>
      </w:r>
      <w:r w:rsidR="0047560A">
        <w:t>te su u</w:t>
      </w:r>
      <w:r w:rsidRPr="00952BB6">
        <w:t xml:space="preserve"> </w:t>
      </w:r>
      <w:r w:rsidR="00F65F79" w:rsidRPr="00952BB6">
        <w:t>202</w:t>
      </w:r>
      <w:r w:rsidR="00712993">
        <w:t>3</w:t>
      </w:r>
      <w:r w:rsidR="00F65F79" w:rsidRPr="00952BB6">
        <w:t xml:space="preserve">. i </w:t>
      </w:r>
      <w:r w:rsidRPr="00952BB6">
        <w:t>202</w:t>
      </w:r>
      <w:r w:rsidR="00712993">
        <w:t>4</w:t>
      </w:r>
      <w:r w:rsidRPr="00952BB6">
        <w:t xml:space="preserve">. </w:t>
      </w:r>
      <w:r w:rsidR="0047560A">
        <w:t xml:space="preserve">provedene </w:t>
      </w:r>
      <w:r w:rsidRPr="00952BB6">
        <w:t>sljedeće aktivnosti:</w:t>
      </w:r>
    </w:p>
    <w:p w14:paraId="5BFD4067" w14:textId="28DDBD06" w:rsidR="007E2984" w:rsidRPr="00BE5FA8" w:rsidRDefault="00A85DBB" w:rsidP="003A1CB7">
      <w:pPr>
        <w:pStyle w:val="Odlomakpopisa"/>
        <w:numPr>
          <w:ilvl w:val="0"/>
          <w:numId w:val="12"/>
        </w:numPr>
        <w:tabs>
          <w:tab w:val="left" w:pos="709"/>
        </w:tabs>
        <w:spacing w:before="60" w:after="60"/>
      </w:pPr>
      <w:r>
        <w:t>a</w:t>
      </w:r>
      <w:r w:rsidR="00C448D9" w:rsidRPr="00BE5FA8">
        <w:t xml:space="preserve">ktivnosti za </w:t>
      </w:r>
      <w:r w:rsidR="00C448D9" w:rsidRPr="0047560A">
        <w:rPr>
          <w:i/>
          <w:iCs/>
        </w:rPr>
        <w:t>očuvanje plemenite periske (</w:t>
      </w:r>
      <w:proofErr w:type="spellStart"/>
      <w:r w:rsidR="00C448D9" w:rsidRPr="0047560A">
        <w:rPr>
          <w:i/>
          <w:iCs/>
        </w:rPr>
        <w:t>Pinna</w:t>
      </w:r>
      <w:proofErr w:type="spellEnd"/>
      <w:r w:rsidR="00C448D9" w:rsidRPr="0047560A">
        <w:rPr>
          <w:i/>
          <w:iCs/>
        </w:rPr>
        <w:t xml:space="preserve"> </w:t>
      </w:r>
      <w:proofErr w:type="spellStart"/>
      <w:r w:rsidR="00C448D9" w:rsidRPr="0047560A">
        <w:rPr>
          <w:i/>
          <w:iCs/>
        </w:rPr>
        <w:t>nobilis</w:t>
      </w:r>
      <w:proofErr w:type="spellEnd"/>
      <w:r w:rsidR="00C448D9" w:rsidRPr="0047560A">
        <w:rPr>
          <w:i/>
          <w:iCs/>
        </w:rPr>
        <w:t>) u Jadranskom moru</w:t>
      </w:r>
      <w:r w:rsidR="00C448D9" w:rsidRPr="00BE5FA8">
        <w:t>, kojeg kao koordinatori projekta, s partnerima, provode JU NP Brijuni, JU More i krš i JU PP Telašćica, sve u svrhu očuvanja populacije strogo zaštićene vrste školjkaša u izumiranju</w:t>
      </w:r>
      <w:r w:rsidR="002E3404" w:rsidRPr="00BE5FA8">
        <w:t xml:space="preserve"> je isplaćeno </w:t>
      </w:r>
      <w:r w:rsidR="00712993" w:rsidRPr="0047560A">
        <w:rPr>
          <w:b/>
          <w:bCs/>
        </w:rPr>
        <w:t>123.467,95 EUR</w:t>
      </w:r>
      <w:r>
        <w:t xml:space="preserve"> i</w:t>
      </w:r>
    </w:p>
    <w:p w14:paraId="4620CE8A" w14:textId="6FC79413" w:rsidR="00F65F79" w:rsidRDefault="00A85DBB" w:rsidP="003A1CB7">
      <w:pPr>
        <w:pStyle w:val="Odlomakpopisa"/>
        <w:numPr>
          <w:ilvl w:val="0"/>
          <w:numId w:val="12"/>
        </w:numPr>
        <w:tabs>
          <w:tab w:val="left" w:pos="709"/>
        </w:tabs>
        <w:spacing w:before="120" w:after="120"/>
      </w:pPr>
      <w:r w:rsidRPr="0047560A">
        <w:rPr>
          <w:i/>
          <w:iCs/>
        </w:rPr>
        <w:t>u</w:t>
      </w:r>
      <w:r w:rsidR="00E12E0B" w:rsidRPr="0047560A">
        <w:rPr>
          <w:i/>
          <w:iCs/>
        </w:rPr>
        <w:t>napređenje postojećih i uspostava novih kapaciteta za smještaj i brigu divljih životinja u oporavilištima</w:t>
      </w:r>
      <w:r w:rsidR="00E12E0B" w:rsidRPr="00952BB6">
        <w:t xml:space="preserve"> kojeg provodi </w:t>
      </w:r>
      <w:proofErr w:type="spellStart"/>
      <w:r w:rsidR="00E12E0B" w:rsidRPr="00952BB6">
        <w:t>Unikom</w:t>
      </w:r>
      <w:proofErr w:type="spellEnd"/>
      <w:r w:rsidR="00E12E0B" w:rsidRPr="00952BB6">
        <w:t xml:space="preserve"> d.o.o. iz Osijeka, za što je isplaćeno </w:t>
      </w:r>
      <w:r w:rsidR="00712993" w:rsidRPr="0047560A">
        <w:rPr>
          <w:b/>
          <w:bCs/>
        </w:rPr>
        <w:t>92.285,73 EUR</w:t>
      </w:r>
      <w:r w:rsidR="00F65F79" w:rsidRPr="00952BB6">
        <w:t>.</w:t>
      </w:r>
    </w:p>
    <w:p w14:paraId="3833089A" w14:textId="2F2686E7" w:rsidR="0047560A" w:rsidRPr="0047560A" w:rsidRDefault="0047560A" w:rsidP="003A1CB7">
      <w:pPr>
        <w:pStyle w:val="Odlomakpopisa"/>
        <w:numPr>
          <w:ilvl w:val="2"/>
          <w:numId w:val="12"/>
        </w:numPr>
        <w:tabs>
          <w:tab w:val="left" w:pos="709"/>
        </w:tabs>
        <w:spacing w:before="120" w:after="120"/>
        <w:rPr>
          <w:u w:val="single"/>
        </w:rPr>
      </w:pPr>
      <w:r w:rsidRPr="0047560A">
        <w:rPr>
          <w:u w:val="single"/>
        </w:rPr>
        <w:t>Ukupno je isplaćeno</w:t>
      </w:r>
      <w:r w:rsidRPr="0047560A">
        <w:rPr>
          <w:i/>
          <w:iCs/>
          <w:u w:val="single"/>
        </w:rPr>
        <w:t xml:space="preserve"> </w:t>
      </w:r>
      <w:r w:rsidRPr="0047560A">
        <w:rPr>
          <w:b/>
          <w:bCs/>
          <w:u w:val="single"/>
        </w:rPr>
        <w:t>215.753,68</w:t>
      </w:r>
      <w:r w:rsidRPr="0047560A">
        <w:rPr>
          <w:b/>
          <w:bCs/>
          <w:color w:val="000000" w:themeColor="text1"/>
          <w:u w:val="single"/>
        </w:rPr>
        <w:t xml:space="preserve"> EUR</w:t>
      </w:r>
      <w:r w:rsidRPr="0047560A">
        <w:rPr>
          <w:color w:val="000000" w:themeColor="text1"/>
          <w:u w:val="single"/>
        </w:rPr>
        <w:t xml:space="preserve"> </w:t>
      </w:r>
      <w:r w:rsidRPr="0047560A">
        <w:rPr>
          <w:u w:val="single"/>
        </w:rPr>
        <w:t>za dva projekta</w:t>
      </w:r>
      <w:r w:rsidRPr="0047560A">
        <w:rPr>
          <w:bCs/>
          <w:u w:val="single"/>
        </w:rPr>
        <w:t>.</w:t>
      </w:r>
    </w:p>
    <w:p w14:paraId="3571A8D9" w14:textId="77777777" w:rsidR="004C14C7" w:rsidRDefault="004C14C7" w:rsidP="00362B57">
      <w:pPr>
        <w:pStyle w:val="Odlomakpopisa"/>
        <w:tabs>
          <w:tab w:val="left" w:pos="709"/>
        </w:tabs>
        <w:spacing w:before="120" w:after="120"/>
        <w:ind w:left="1069"/>
      </w:pPr>
    </w:p>
    <w:p w14:paraId="0C2C08FA" w14:textId="2936C0B1" w:rsidR="00BB71CF" w:rsidRPr="00362B57" w:rsidRDefault="00362B57" w:rsidP="00077A5D">
      <w:pPr>
        <w:pStyle w:val="Naslov2"/>
        <w:numPr>
          <w:ilvl w:val="2"/>
          <w:numId w:val="31"/>
        </w:numPr>
        <w:spacing w:before="120" w:after="120"/>
        <w:ind w:left="1418" w:hanging="851"/>
        <w:rPr>
          <w:rFonts w:ascii="Times New Roman" w:hAnsi="Times New Roman" w:cs="Times New Roman"/>
          <w:sz w:val="24"/>
          <w:szCs w:val="24"/>
        </w:rPr>
      </w:pPr>
      <w:bookmarkStart w:id="23" w:name="_Toc226980230"/>
      <w:r w:rsidRPr="00174A96">
        <w:rPr>
          <w:rFonts w:ascii="Times New Roman" w:hAnsi="Times New Roman" w:cs="Times New Roman"/>
          <w:sz w:val="24"/>
          <w:szCs w:val="24"/>
        </w:rPr>
        <w:t>Istraživanje i razvoj te stručna podrška (IR)</w:t>
      </w:r>
      <w:bookmarkEnd w:id="23"/>
    </w:p>
    <w:p w14:paraId="67A45382" w14:textId="23ED6CFB" w:rsidR="00075610" w:rsidRPr="00190734" w:rsidRDefault="00075610" w:rsidP="003376E7">
      <w:pPr>
        <w:spacing w:before="60" w:after="60"/>
        <w:ind w:firstLine="567"/>
      </w:pPr>
      <w:r w:rsidRPr="00190734">
        <w:t>Za određene aktivnosti, odnosno mjere za koje se procijeni da mogu ispuniti kriterije znanstvenih i stručno utemeljenih istraživanja (temeljna, primijenjena i razvojna istraživanja) Planom je definirano da će se provoditi kroz pravnu i institucionalnu infrastrukturu područja znanosti i istraživanja. Za ostale aktivnosti, odnosno mjere previđeno</w:t>
      </w:r>
      <w:r w:rsidR="00C21305" w:rsidRPr="00190734">
        <w:t xml:space="preserve"> je financiranje stručne podrške</w:t>
      </w:r>
      <w:r w:rsidRPr="00190734">
        <w:t xml:space="preserve"> (studije i istraživanja, analitičke podloge i sl.) kroz Fond kao provedbeno tijelo u skladu s propisima Fonda za dodjelu financijskih sredstava.</w:t>
      </w:r>
    </w:p>
    <w:p w14:paraId="63676AF0" w14:textId="706DEECA" w:rsidR="00075610" w:rsidRPr="00190734" w:rsidRDefault="00211C5A" w:rsidP="003376E7">
      <w:pPr>
        <w:spacing w:before="60" w:after="60"/>
        <w:ind w:firstLine="567"/>
        <w:rPr>
          <w:lang w:eastAsia="hr-HR"/>
        </w:rPr>
      </w:pPr>
      <w:r w:rsidRPr="00190734">
        <w:rPr>
          <w:lang w:eastAsia="hr-HR"/>
        </w:rPr>
        <w:t xml:space="preserve">Također je predviđeno sufinanciranje dijela nacionalne komponente koje mora osigurati korisnik LIFE programa koji uključuje klimatske aktivnosti. </w:t>
      </w:r>
      <w:r w:rsidR="00075610" w:rsidRPr="00190734">
        <w:t xml:space="preserve">Sukladno prioritetnoj mjeri </w:t>
      </w:r>
      <w:r w:rsidR="0047560A">
        <w:t>I</w:t>
      </w:r>
      <w:r w:rsidR="00075610" w:rsidRPr="00190734">
        <w:t xml:space="preserve">straživanje i razvoj te stručna </w:t>
      </w:r>
      <w:r w:rsidR="00F80610" w:rsidRPr="00190734">
        <w:t>podrška iz Plana</w:t>
      </w:r>
      <w:r w:rsidRPr="00190734">
        <w:t xml:space="preserve"> </w:t>
      </w:r>
      <w:r w:rsidR="0047560A">
        <w:t>I</w:t>
      </w:r>
      <w:r w:rsidR="00F80610" w:rsidRPr="00190734">
        <w:t>, u</w:t>
      </w:r>
      <w:r w:rsidR="000973F2">
        <w:t xml:space="preserve"> 202</w:t>
      </w:r>
      <w:r w:rsidR="001C60F4">
        <w:t>3</w:t>
      </w:r>
      <w:r w:rsidR="000973F2">
        <w:t>. i</w:t>
      </w:r>
      <w:r w:rsidR="00F80610" w:rsidRPr="00190734">
        <w:t xml:space="preserve"> 202</w:t>
      </w:r>
      <w:r w:rsidR="001C60F4">
        <w:t>4</w:t>
      </w:r>
      <w:r w:rsidR="00075610" w:rsidRPr="00190734">
        <w:t xml:space="preserve">. za </w:t>
      </w:r>
      <w:r w:rsidR="00075610" w:rsidRPr="00190734">
        <w:rPr>
          <w:lang w:eastAsia="hr-HR"/>
        </w:rPr>
        <w:t xml:space="preserve">financiranje </w:t>
      </w:r>
      <w:r w:rsidR="00075610" w:rsidRPr="00190734">
        <w:t xml:space="preserve">projekata </w:t>
      </w:r>
      <w:r w:rsidR="00075610" w:rsidRPr="00190734">
        <w:rPr>
          <w:b/>
        </w:rPr>
        <w:t>istraživanja i razvoja te stručne podrške</w:t>
      </w:r>
      <w:r w:rsidR="00E030DF" w:rsidRPr="00190734">
        <w:t xml:space="preserve"> ispla</w:t>
      </w:r>
      <w:r w:rsidR="0047560A">
        <w:t>ćeno je</w:t>
      </w:r>
      <w:r w:rsidR="00184A76" w:rsidRPr="00190734">
        <w:rPr>
          <w:rFonts w:eastAsia="Times New Roman"/>
          <w:b/>
          <w:bCs/>
          <w:lang w:eastAsia="hr-HR"/>
        </w:rPr>
        <w:t xml:space="preserve"> </w:t>
      </w:r>
      <w:r w:rsidR="001C60F4" w:rsidRPr="001C60F4">
        <w:rPr>
          <w:rFonts w:eastAsia="Times New Roman"/>
          <w:b/>
          <w:bCs/>
          <w:lang w:eastAsia="hr-HR"/>
        </w:rPr>
        <w:t xml:space="preserve">549.953,17 </w:t>
      </w:r>
      <w:r w:rsidR="001C60F4">
        <w:rPr>
          <w:rFonts w:eastAsia="Times New Roman"/>
          <w:b/>
          <w:bCs/>
          <w:lang w:eastAsia="hr-HR"/>
        </w:rPr>
        <w:t xml:space="preserve">EUR </w:t>
      </w:r>
      <w:r w:rsidR="00075610" w:rsidRPr="0047560A">
        <w:rPr>
          <w:bCs/>
        </w:rPr>
        <w:t>za ukupno</w:t>
      </w:r>
      <w:r w:rsidR="00075610" w:rsidRPr="00FB7B46">
        <w:rPr>
          <w:b/>
        </w:rPr>
        <w:t xml:space="preserve"> </w:t>
      </w:r>
      <w:r w:rsidR="0047560A">
        <w:rPr>
          <w:b/>
        </w:rPr>
        <w:t xml:space="preserve">šest </w:t>
      </w:r>
      <w:r w:rsidR="00387A0E" w:rsidRPr="00190734">
        <w:rPr>
          <w:b/>
        </w:rPr>
        <w:t>projek</w:t>
      </w:r>
      <w:r w:rsidR="00354D29">
        <w:rPr>
          <w:b/>
        </w:rPr>
        <w:t>a</w:t>
      </w:r>
      <w:r w:rsidR="00A26E39">
        <w:rPr>
          <w:b/>
        </w:rPr>
        <w:t>ta</w:t>
      </w:r>
      <w:r w:rsidR="00075610" w:rsidRPr="00190734">
        <w:rPr>
          <w:b/>
        </w:rPr>
        <w:t>,</w:t>
      </w:r>
      <w:r w:rsidR="00075610" w:rsidRPr="00190734">
        <w:t xml:space="preserve"> </w:t>
      </w:r>
      <w:r w:rsidR="00781F03" w:rsidRPr="00190734">
        <w:t>kako slijedi:</w:t>
      </w:r>
    </w:p>
    <w:p w14:paraId="62F89D4E" w14:textId="53812366" w:rsidR="00391131" w:rsidRDefault="00391131" w:rsidP="003A1CB7">
      <w:pPr>
        <w:pStyle w:val="Odlomakpopisa"/>
        <w:numPr>
          <w:ilvl w:val="0"/>
          <w:numId w:val="13"/>
        </w:numPr>
        <w:spacing w:before="60" w:after="60"/>
      </w:pPr>
      <w:r>
        <w:t xml:space="preserve">Projekt </w:t>
      </w:r>
      <w:r w:rsidR="001C60F4">
        <w:t xml:space="preserve">CRONFI II kojeg provodi </w:t>
      </w:r>
      <w:r w:rsidR="001C60F4" w:rsidRPr="001C60F4">
        <w:t>Ministarstv</w:t>
      </w:r>
      <w:r w:rsidR="001C60F4">
        <w:t>o</w:t>
      </w:r>
      <w:r w:rsidR="001C60F4" w:rsidRPr="001C60F4">
        <w:t xml:space="preserve"> poljoprivrede, šumarstva i ribarstva, nositelj provedbe Druge nacionalne inventure šumskih resursa Republike Hrvatske (CRONFI II)</w:t>
      </w:r>
      <w:r w:rsidR="000B2DA3">
        <w:t xml:space="preserve"> podrazumijeva </w:t>
      </w:r>
      <w:r w:rsidR="001C60F4" w:rsidRPr="001C60F4">
        <w:t>projektne aktivnosti izrade matrice zemljišta i zalihe ugljika za potrebe izvješćivanja o emisijama stakleničkih plinova koje je u nadležnosti MZOZT-a</w:t>
      </w:r>
      <w:r>
        <w:t xml:space="preserve"> </w:t>
      </w:r>
    </w:p>
    <w:p w14:paraId="271367D4" w14:textId="51FDB464" w:rsidR="000B2DA3" w:rsidRPr="000B2DA3" w:rsidRDefault="000B2DA3" w:rsidP="000B2DA3">
      <w:pPr>
        <w:pStyle w:val="Odlomakpopisa"/>
        <w:numPr>
          <w:ilvl w:val="2"/>
          <w:numId w:val="13"/>
        </w:numPr>
        <w:spacing w:before="60" w:after="60"/>
        <w:rPr>
          <w:u w:val="single"/>
        </w:rPr>
      </w:pPr>
      <w:r w:rsidRPr="000B2DA3">
        <w:rPr>
          <w:u w:val="single"/>
        </w:rPr>
        <w:t xml:space="preserve">Ukupno je isplaćeno </w:t>
      </w:r>
      <w:r w:rsidRPr="000B2DA3">
        <w:rPr>
          <w:b/>
          <w:bCs/>
          <w:u w:val="single"/>
        </w:rPr>
        <w:t>271.376,79 EUR</w:t>
      </w:r>
    </w:p>
    <w:p w14:paraId="0DD9C0D3" w14:textId="5A24F4FD" w:rsidR="00091FFB" w:rsidRPr="00FB7B46" w:rsidRDefault="00A02812" w:rsidP="003A1CB7">
      <w:pPr>
        <w:pStyle w:val="Odlomakpopisa"/>
        <w:numPr>
          <w:ilvl w:val="0"/>
          <w:numId w:val="13"/>
        </w:numPr>
        <w:spacing w:before="60" w:after="60"/>
      </w:pPr>
      <w:r>
        <w:t>Sljedećim p</w:t>
      </w:r>
      <w:r w:rsidR="000B2DA3">
        <w:t>rojektima iz</w:t>
      </w:r>
      <w:r w:rsidR="00091FFB" w:rsidRPr="00FB7B46">
        <w:rPr>
          <w:b/>
          <w:bCs/>
        </w:rPr>
        <w:t xml:space="preserve"> Programa LIFE </w:t>
      </w:r>
      <w:r w:rsidR="00091FFB" w:rsidRPr="00FB7B46">
        <w:t>također se sufinancira</w:t>
      </w:r>
      <w:r>
        <w:t>o</w:t>
      </w:r>
      <w:r w:rsidR="00091FFB" w:rsidRPr="00FB7B46">
        <w:t xml:space="preserve"> dio nacionalne komponente</w:t>
      </w:r>
      <w:r w:rsidR="000B2DA3">
        <w:t>:</w:t>
      </w:r>
    </w:p>
    <w:p w14:paraId="7DC4049A" w14:textId="28CE4B33" w:rsidR="00091FFB" w:rsidRPr="00FB7B46" w:rsidRDefault="00091FFB" w:rsidP="00077A5D">
      <w:pPr>
        <w:pStyle w:val="Odlomakpopisa"/>
        <w:numPr>
          <w:ilvl w:val="3"/>
          <w:numId w:val="28"/>
        </w:numPr>
        <w:spacing w:before="60" w:after="60"/>
      </w:pPr>
      <w:r w:rsidRPr="0047560A">
        <w:rPr>
          <w:b/>
          <w:bCs/>
        </w:rPr>
        <w:t>LIFE LYNX</w:t>
      </w:r>
      <w:r w:rsidRPr="00FB7B46">
        <w:t>, gdje su aktivnosti projekta usmjerene na reintrodukciju risa na područje Dinarida, što za područje Hrvatske provode Veterinarski fakultet Sveučilišta u Zagrebu, Veleučilište u Karlovcu i udruga BIOM, kao pridruženi korisnici međudržavnog projekta.</w:t>
      </w:r>
    </w:p>
    <w:p w14:paraId="1E008866" w14:textId="4F54D071" w:rsidR="00091FFB" w:rsidRPr="00FB7B46" w:rsidRDefault="00091FFB" w:rsidP="00077A5D">
      <w:pPr>
        <w:pStyle w:val="Odlomakpopisa"/>
        <w:numPr>
          <w:ilvl w:val="3"/>
          <w:numId w:val="28"/>
        </w:numPr>
        <w:spacing w:before="60" w:after="60"/>
      </w:pPr>
      <w:r w:rsidRPr="0047560A">
        <w:rPr>
          <w:b/>
          <w:bCs/>
        </w:rPr>
        <w:t xml:space="preserve">LIFE </w:t>
      </w:r>
      <w:proofErr w:type="spellStart"/>
      <w:r w:rsidRPr="0047560A">
        <w:rPr>
          <w:b/>
          <w:bCs/>
        </w:rPr>
        <w:t>SWiPE</w:t>
      </w:r>
      <w:proofErr w:type="spellEnd"/>
      <w:r w:rsidRPr="00FB7B46">
        <w:t xml:space="preserve"> kojeg provodi udruga WWF Adria u svojstvu pridruženog partnera za Hrvatsku, zajedno s DORH-om i Pravosudnom akademijom. Cilj projekta je suzbijanje ekološkog kriminaliteta (ilegalna trgovina, sječa, lov i ribolov, trovanje, ubijanje zaštićenih vrsta i uništavanje staništa) i povećanje broja procesuiranih slučajeva.</w:t>
      </w:r>
    </w:p>
    <w:p w14:paraId="38A9C1AF" w14:textId="7E6B03D4" w:rsidR="00091FFB" w:rsidRPr="00FB7B46" w:rsidRDefault="00091FFB" w:rsidP="00077A5D">
      <w:pPr>
        <w:pStyle w:val="Odlomakpopisa"/>
        <w:numPr>
          <w:ilvl w:val="3"/>
          <w:numId w:val="28"/>
        </w:numPr>
        <w:spacing w:before="60" w:after="60"/>
      </w:pPr>
      <w:r w:rsidRPr="0047560A">
        <w:rPr>
          <w:b/>
          <w:bCs/>
        </w:rPr>
        <w:t xml:space="preserve">LIFE Dinara </w:t>
      </w:r>
      <w:proofErr w:type="spellStart"/>
      <w:r w:rsidRPr="0047560A">
        <w:rPr>
          <w:b/>
          <w:bCs/>
        </w:rPr>
        <w:t>back</w:t>
      </w:r>
      <w:proofErr w:type="spellEnd"/>
      <w:r w:rsidRPr="0047560A">
        <w:rPr>
          <w:b/>
          <w:bCs/>
        </w:rPr>
        <w:t xml:space="preserve"> to Life</w:t>
      </w:r>
      <w:r w:rsidRPr="00FB7B46">
        <w:t xml:space="preserve"> </w:t>
      </w:r>
      <w:r w:rsidR="00247854">
        <w:t>kojeg provodi udruga BIOM s ciljem davanja</w:t>
      </w:r>
      <w:r w:rsidRPr="00FB7B46">
        <w:t xml:space="preserve"> doprinos</w:t>
      </w:r>
      <w:r w:rsidR="00247854">
        <w:t>a</w:t>
      </w:r>
      <w:r w:rsidRPr="00FB7B46">
        <w:t xml:space="preserve"> povoljnijem statusu ciljanih stanišnih tipova i vrsta kroz izradu smjernica restauracije suhih pašnjaka i njihovo održivo upravljanje.</w:t>
      </w:r>
    </w:p>
    <w:p w14:paraId="33D4B1D4" w14:textId="0747845A" w:rsidR="00091FFB" w:rsidRPr="00FB7B46" w:rsidRDefault="00091FFB" w:rsidP="00077A5D">
      <w:pPr>
        <w:pStyle w:val="Odlomakpopisa"/>
        <w:numPr>
          <w:ilvl w:val="3"/>
          <w:numId w:val="28"/>
        </w:numPr>
        <w:spacing w:before="60" w:after="60"/>
      </w:pPr>
      <w:r w:rsidRPr="00354D29">
        <w:rPr>
          <w:b/>
          <w:bCs/>
        </w:rPr>
        <w:lastRenderedPageBreak/>
        <w:t xml:space="preserve">LIFE </w:t>
      </w:r>
      <w:proofErr w:type="spellStart"/>
      <w:r w:rsidRPr="00354D29">
        <w:rPr>
          <w:b/>
          <w:bCs/>
        </w:rPr>
        <w:t>BalkanDetoxLife</w:t>
      </w:r>
      <w:proofErr w:type="spellEnd"/>
      <w:r w:rsidRPr="00FB7B46">
        <w:t xml:space="preserve"> u kojem udruga BIOM sudjeluje kao pridruženi partner, zajedno s partnerima, nevladinim organizacijama iz Bugarske, Albanije, Grčke, Makedonije, Bosne i Hercegovine koje surađuju, svaka sa svojim predstavnicima službenih institucija u svojim zemljama, u svrhu razvijanja strategije suzbijanja krivolova.</w:t>
      </w:r>
    </w:p>
    <w:p w14:paraId="38DA28F5" w14:textId="1F9A83BD" w:rsidR="00091FFB" w:rsidRDefault="00091FFB" w:rsidP="00077A5D">
      <w:pPr>
        <w:pStyle w:val="Odlomakpopisa"/>
        <w:numPr>
          <w:ilvl w:val="3"/>
          <w:numId w:val="28"/>
        </w:numPr>
        <w:spacing w:before="60" w:after="60"/>
      </w:pPr>
      <w:r w:rsidRPr="00354D29">
        <w:rPr>
          <w:b/>
          <w:bCs/>
        </w:rPr>
        <w:t xml:space="preserve">LIFE CONTRA </w:t>
      </w:r>
      <w:proofErr w:type="spellStart"/>
      <w:r w:rsidRPr="00354D29">
        <w:rPr>
          <w:b/>
          <w:bCs/>
        </w:rPr>
        <w:t>Ailanthus</w:t>
      </w:r>
      <w:proofErr w:type="spellEnd"/>
      <w:r w:rsidRPr="00FB7B46">
        <w:t xml:space="preserve"> gdje je cilj projekta uspostavljanje sustava kontrole populacije invazivne strane vrste </w:t>
      </w:r>
      <w:proofErr w:type="spellStart"/>
      <w:r w:rsidRPr="00354D29">
        <w:rPr>
          <w:i/>
          <w:iCs/>
        </w:rPr>
        <w:t>Ailanthus</w:t>
      </w:r>
      <w:proofErr w:type="spellEnd"/>
      <w:r w:rsidRPr="00354D29">
        <w:rPr>
          <w:i/>
          <w:iCs/>
        </w:rPr>
        <w:t xml:space="preserve"> </w:t>
      </w:r>
      <w:proofErr w:type="spellStart"/>
      <w:r w:rsidRPr="00354D29">
        <w:rPr>
          <w:i/>
          <w:iCs/>
        </w:rPr>
        <w:t>altissima</w:t>
      </w:r>
      <w:proofErr w:type="spellEnd"/>
      <w:r w:rsidRPr="00FB7B46">
        <w:t xml:space="preserve"> (</w:t>
      </w:r>
      <w:proofErr w:type="spellStart"/>
      <w:r w:rsidRPr="00FB7B46">
        <w:t>pajasen</w:t>
      </w:r>
      <w:proofErr w:type="spellEnd"/>
      <w:r w:rsidRPr="00FB7B46">
        <w:t xml:space="preserve">) u Hrvatskoj, jer je </w:t>
      </w:r>
      <w:proofErr w:type="spellStart"/>
      <w:r w:rsidRPr="00FB7B46">
        <w:t>pajasen</w:t>
      </w:r>
      <w:proofErr w:type="spellEnd"/>
      <w:r w:rsidRPr="00FB7B46">
        <w:t xml:space="preserve"> invazivno strano drvo porijeklom iz Azije, izuzetno otporna vrsta koja predstavlja neposrednu prijetnju ugroženim stanišnim tipovima i zavičajnim vrstama, nanosi štetu poljoprivredi, oštećuje građevine kulturne baštine te može štetno djelovati na ljudsko zdravlje.</w:t>
      </w:r>
      <w:r w:rsidR="00247854">
        <w:t xml:space="preserve"> Projekt provodi MZOZT.</w:t>
      </w:r>
    </w:p>
    <w:p w14:paraId="222AE13E" w14:textId="55550A36" w:rsidR="0045178E" w:rsidRPr="0017583B" w:rsidRDefault="000B2DA3" w:rsidP="00077A5D">
      <w:pPr>
        <w:pStyle w:val="Odlomakpopisa"/>
        <w:numPr>
          <w:ilvl w:val="4"/>
          <w:numId w:val="29"/>
        </w:numPr>
        <w:spacing w:before="60" w:after="60"/>
        <w:rPr>
          <w:u w:val="single"/>
        </w:rPr>
      </w:pPr>
      <w:r w:rsidRPr="000B2DA3">
        <w:rPr>
          <w:u w:val="single"/>
        </w:rPr>
        <w:t>Ukupno je isplaćeno</w:t>
      </w:r>
      <w:r w:rsidRPr="000B2DA3">
        <w:rPr>
          <w:b/>
          <w:bCs/>
          <w:u w:val="single"/>
        </w:rPr>
        <w:t xml:space="preserve"> 278.576,38 EUR </w:t>
      </w:r>
      <w:bookmarkStart w:id="24" w:name="_Hlk156506460"/>
    </w:p>
    <w:p w14:paraId="212048AD" w14:textId="18AE84E0" w:rsidR="00D464AB" w:rsidRPr="0017583B" w:rsidRDefault="00D464AB" w:rsidP="00077A5D">
      <w:pPr>
        <w:pStyle w:val="Naslov2"/>
        <w:numPr>
          <w:ilvl w:val="2"/>
          <w:numId w:val="31"/>
        </w:numPr>
        <w:spacing w:before="120" w:after="120"/>
        <w:ind w:left="1418" w:hanging="851"/>
        <w:rPr>
          <w:rFonts w:ascii="Times New Roman" w:hAnsi="Times New Roman" w:cs="Times New Roman"/>
          <w:sz w:val="24"/>
          <w:szCs w:val="24"/>
        </w:rPr>
      </w:pPr>
      <w:bookmarkStart w:id="25" w:name="_Toc226980231"/>
      <w:bookmarkEnd w:id="24"/>
      <w:r w:rsidRPr="0017583B">
        <w:rPr>
          <w:rFonts w:ascii="Times New Roman" w:hAnsi="Times New Roman" w:cs="Times New Roman"/>
          <w:sz w:val="24"/>
          <w:szCs w:val="24"/>
        </w:rPr>
        <w:t>Centri za gospodarenje otpadom (CGO)</w:t>
      </w:r>
      <w:bookmarkEnd w:id="25"/>
    </w:p>
    <w:p w14:paraId="6E90CE77" w14:textId="7DB173B4" w:rsidR="00D464AB" w:rsidRPr="000541DE" w:rsidRDefault="00D464AB" w:rsidP="003376E7">
      <w:pPr>
        <w:spacing w:before="60" w:after="60"/>
        <w:ind w:firstLine="567"/>
        <w:rPr>
          <w:rFonts w:eastAsia="Times New Roman"/>
          <w:lang w:eastAsia="hr-HR"/>
        </w:rPr>
      </w:pPr>
      <w:r w:rsidRPr="00D328FF">
        <w:t xml:space="preserve">Mjera </w:t>
      </w:r>
      <w:r w:rsidR="002F5E91">
        <w:t xml:space="preserve">uspostave </w:t>
      </w:r>
      <w:r w:rsidRPr="00D328FF">
        <w:t>cent</w:t>
      </w:r>
      <w:r w:rsidR="002F5E91">
        <w:t>ara</w:t>
      </w:r>
      <w:r w:rsidRPr="00D328FF">
        <w:t xml:space="preserve"> za gospodarenje otpadom odnosi se na aktivnosti sufinanciranja izrade </w:t>
      </w:r>
      <w:r w:rsidRPr="00D328FF">
        <w:rPr>
          <w:rFonts w:eastAsia="Times New Roman"/>
          <w:lang w:eastAsia="hr-HR"/>
        </w:rPr>
        <w:t xml:space="preserve">projektno-tehničke dokumentacije za uspostavu cjelovitog sustava gospodarenja otpadom te aktivnosti sufinanciranja provedbe, odnosno izgradnje centara za gospodarenje otpadom za što </w:t>
      </w:r>
      <w:r w:rsidRPr="000541DE">
        <w:rPr>
          <w:rFonts w:eastAsia="Times New Roman"/>
          <w:lang w:eastAsia="hr-HR"/>
        </w:rPr>
        <w:t>je u 202</w:t>
      </w:r>
      <w:r w:rsidR="0031444F">
        <w:rPr>
          <w:rFonts w:eastAsia="Times New Roman"/>
          <w:lang w:eastAsia="hr-HR"/>
        </w:rPr>
        <w:t>3</w:t>
      </w:r>
      <w:r w:rsidRPr="000541DE">
        <w:rPr>
          <w:rFonts w:eastAsia="Times New Roman"/>
          <w:lang w:eastAsia="hr-HR"/>
        </w:rPr>
        <w:t>.</w:t>
      </w:r>
      <w:r w:rsidR="008E1F37">
        <w:rPr>
          <w:rFonts w:eastAsia="Times New Roman"/>
          <w:lang w:eastAsia="hr-HR"/>
        </w:rPr>
        <w:t xml:space="preserve"> i 202</w:t>
      </w:r>
      <w:r w:rsidR="0031444F">
        <w:rPr>
          <w:rFonts w:eastAsia="Times New Roman"/>
          <w:lang w:eastAsia="hr-HR"/>
        </w:rPr>
        <w:t>4</w:t>
      </w:r>
      <w:r w:rsidR="008E1F37">
        <w:rPr>
          <w:rFonts w:eastAsia="Times New Roman"/>
          <w:lang w:eastAsia="hr-HR"/>
        </w:rPr>
        <w:t>.</w:t>
      </w:r>
      <w:r w:rsidRPr="000541DE">
        <w:rPr>
          <w:rFonts w:eastAsia="Times New Roman"/>
          <w:lang w:eastAsia="hr-HR"/>
        </w:rPr>
        <w:t xml:space="preserve"> godini </w:t>
      </w:r>
      <w:r w:rsidRPr="000541DE">
        <w:rPr>
          <w:rFonts w:eastAsia="Times New Roman"/>
          <w:b/>
          <w:lang w:eastAsia="hr-HR"/>
        </w:rPr>
        <w:t xml:space="preserve">za </w:t>
      </w:r>
      <w:r w:rsidR="0031444F">
        <w:rPr>
          <w:rFonts w:eastAsia="Times New Roman"/>
          <w:b/>
          <w:lang w:eastAsia="hr-HR"/>
        </w:rPr>
        <w:t>8</w:t>
      </w:r>
      <w:r w:rsidRPr="000541DE">
        <w:rPr>
          <w:rFonts w:eastAsia="Times New Roman"/>
          <w:b/>
          <w:lang w:eastAsia="hr-HR"/>
        </w:rPr>
        <w:t xml:space="preserve"> projekata</w:t>
      </w:r>
      <w:r w:rsidRPr="000541DE">
        <w:rPr>
          <w:rFonts w:eastAsia="Times New Roman"/>
          <w:lang w:eastAsia="hr-HR"/>
        </w:rPr>
        <w:t xml:space="preserve"> </w:t>
      </w:r>
      <w:r w:rsidRPr="000541DE">
        <w:rPr>
          <w:rFonts w:eastAsia="Times New Roman"/>
          <w:b/>
          <w:lang w:eastAsia="hr-HR"/>
        </w:rPr>
        <w:t>isplaćeno</w:t>
      </w:r>
      <w:r w:rsidR="008E1F37" w:rsidRPr="008E1F37">
        <w:rPr>
          <w:rFonts w:eastAsia="Times New Roman"/>
          <w:b/>
          <w:lang w:eastAsia="hr-HR"/>
        </w:rPr>
        <w:t xml:space="preserve"> </w:t>
      </w:r>
      <w:r w:rsidR="0031444F" w:rsidRPr="0031444F">
        <w:rPr>
          <w:rFonts w:eastAsia="Times New Roman"/>
          <w:b/>
          <w:lang w:eastAsia="hr-HR"/>
        </w:rPr>
        <w:t xml:space="preserve">16.769.954,27 </w:t>
      </w:r>
      <w:r w:rsidR="0031444F">
        <w:rPr>
          <w:rFonts w:eastAsia="Times New Roman"/>
          <w:b/>
          <w:lang w:eastAsia="hr-HR"/>
        </w:rPr>
        <w:t>EUR</w:t>
      </w:r>
      <w:r w:rsidRPr="000541DE">
        <w:rPr>
          <w:rFonts w:eastAsia="Times New Roman"/>
          <w:b/>
          <w:lang w:eastAsia="hr-HR"/>
        </w:rPr>
        <w:t>.</w:t>
      </w:r>
    </w:p>
    <w:p w14:paraId="444D9F38" w14:textId="467D801C" w:rsidR="00D464AB" w:rsidRPr="00706FC4" w:rsidRDefault="00D464AB" w:rsidP="003376E7">
      <w:pPr>
        <w:spacing w:before="60" w:after="60"/>
        <w:ind w:firstLine="567"/>
        <w:rPr>
          <w:rFonts w:eastAsia="Times New Roman"/>
          <w:lang w:eastAsia="hr-HR"/>
        </w:rPr>
      </w:pPr>
      <w:r w:rsidRPr="00706FC4">
        <w:rPr>
          <w:rFonts w:eastAsia="Times New Roman"/>
          <w:lang w:eastAsia="hr-HR"/>
        </w:rPr>
        <w:t xml:space="preserve">Što se tiče </w:t>
      </w:r>
      <w:r w:rsidRPr="00A02812">
        <w:rPr>
          <w:rFonts w:eastAsia="Times New Roman"/>
          <w:u w:val="single"/>
          <w:lang w:eastAsia="hr-HR"/>
        </w:rPr>
        <w:t>sufinanciranja izrade projektno-tehničke dokumentacije</w:t>
      </w:r>
      <w:r w:rsidRPr="00706FC4">
        <w:rPr>
          <w:rFonts w:eastAsia="Times New Roman"/>
          <w:lang w:eastAsia="hr-HR"/>
        </w:rPr>
        <w:t xml:space="preserve"> za uspostavu cjelovitog sustava gospodarenja otpadom</w:t>
      </w:r>
      <w:r w:rsidR="006F4DAE">
        <w:rPr>
          <w:rFonts w:eastAsia="Times New Roman"/>
          <w:lang w:eastAsia="hr-HR"/>
        </w:rPr>
        <w:t>,</w:t>
      </w:r>
      <w:r w:rsidRPr="00706FC4">
        <w:rPr>
          <w:rFonts w:eastAsia="Times New Roman"/>
          <w:lang w:eastAsia="hr-HR"/>
        </w:rPr>
        <w:t xml:space="preserve"> u 202</w:t>
      </w:r>
      <w:r w:rsidR="0031444F">
        <w:rPr>
          <w:rFonts w:eastAsia="Times New Roman"/>
          <w:lang w:eastAsia="hr-HR"/>
        </w:rPr>
        <w:t>3</w:t>
      </w:r>
      <w:r w:rsidR="00706FC4" w:rsidRPr="00706FC4">
        <w:rPr>
          <w:rFonts w:eastAsia="Times New Roman"/>
          <w:lang w:eastAsia="hr-HR"/>
        </w:rPr>
        <w:t>.</w:t>
      </w:r>
      <w:r w:rsidR="008E1F37" w:rsidRPr="00706FC4">
        <w:rPr>
          <w:rFonts w:eastAsia="Times New Roman"/>
          <w:lang w:eastAsia="hr-HR"/>
        </w:rPr>
        <w:t xml:space="preserve"> i 202</w:t>
      </w:r>
      <w:r w:rsidR="0031444F">
        <w:rPr>
          <w:rFonts w:eastAsia="Times New Roman"/>
          <w:lang w:eastAsia="hr-HR"/>
        </w:rPr>
        <w:t>4</w:t>
      </w:r>
      <w:r w:rsidR="008E1F37" w:rsidRPr="00706FC4">
        <w:rPr>
          <w:rFonts w:eastAsia="Times New Roman"/>
          <w:lang w:eastAsia="hr-HR"/>
        </w:rPr>
        <w:t>.</w:t>
      </w:r>
      <w:r w:rsidRPr="00706FC4">
        <w:rPr>
          <w:rFonts w:eastAsia="Times New Roman"/>
          <w:lang w:eastAsia="hr-HR"/>
        </w:rPr>
        <w:t xml:space="preserve"> godini sufinancirana su </w:t>
      </w:r>
      <w:r w:rsidRPr="00706FC4">
        <w:rPr>
          <w:rFonts w:eastAsia="Times New Roman"/>
          <w:b/>
          <w:bCs/>
          <w:lang w:eastAsia="hr-HR"/>
        </w:rPr>
        <w:t>3 projekta</w:t>
      </w:r>
      <w:r w:rsidRPr="00706FC4">
        <w:rPr>
          <w:rFonts w:eastAsia="Times New Roman"/>
          <w:lang w:eastAsia="hr-HR"/>
        </w:rPr>
        <w:t xml:space="preserve"> </w:t>
      </w:r>
      <w:r w:rsidR="00451EDE" w:rsidRPr="00706FC4">
        <w:rPr>
          <w:rFonts w:eastAsia="Times New Roman"/>
          <w:lang w:eastAsia="hr-HR"/>
        </w:rPr>
        <w:t>koja se odnose na izrad</w:t>
      </w:r>
      <w:r w:rsidR="00706FC4">
        <w:rPr>
          <w:rFonts w:eastAsia="Times New Roman"/>
          <w:lang w:eastAsia="hr-HR"/>
        </w:rPr>
        <w:t>u</w:t>
      </w:r>
      <w:r w:rsidR="00451EDE" w:rsidRPr="00706FC4">
        <w:rPr>
          <w:rFonts w:eastAsia="Times New Roman"/>
          <w:lang w:eastAsia="hr-HR"/>
        </w:rPr>
        <w:t xml:space="preserve"> studijsko-projektne dokumentacije za 3 preostala CGO koja su u pripremi, </w:t>
      </w:r>
      <w:r w:rsidRPr="00706FC4">
        <w:rPr>
          <w:rFonts w:eastAsia="Times New Roman"/>
          <w:lang w:eastAsia="hr-HR"/>
        </w:rPr>
        <w:t xml:space="preserve">sa sljedećim korisnicima: </w:t>
      </w:r>
      <w:r w:rsidRPr="00A02812">
        <w:rPr>
          <w:rFonts w:eastAsia="Times New Roman"/>
          <w:b/>
          <w:bCs/>
          <w:lang w:eastAsia="hr-HR"/>
        </w:rPr>
        <w:t xml:space="preserve">Centar za gospodarenje otpadom </w:t>
      </w:r>
      <w:proofErr w:type="spellStart"/>
      <w:r w:rsidRPr="00A02812">
        <w:rPr>
          <w:rFonts w:eastAsia="Times New Roman"/>
          <w:b/>
          <w:bCs/>
          <w:lang w:eastAsia="hr-HR"/>
        </w:rPr>
        <w:t>Šagulje</w:t>
      </w:r>
      <w:proofErr w:type="spellEnd"/>
      <w:r w:rsidRPr="00706FC4">
        <w:rPr>
          <w:rFonts w:eastAsia="Times New Roman"/>
          <w:lang w:eastAsia="hr-HR"/>
        </w:rPr>
        <w:t xml:space="preserve"> (korisnik RCGO </w:t>
      </w:r>
      <w:proofErr w:type="spellStart"/>
      <w:r w:rsidRPr="00706FC4">
        <w:rPr>
          <w:rFonts w:eastAsia="Times New Roman"/>
          <w:lang w:eastAsia="hr-HR"/>
        </w:rPr>
        <w:t>Šagulje</w:t>
      </w:r>
      <w:proofErr w:type="spellEnd"/>
      <w:r w:rsidRPr="00706FC4">
        <w:rPr>
          <w:rFonts w:eastAsia="Times New Roman"/>
          <w:lang w:eastAsia="hr-HR"/>
        </w:rPr>
        <w:t xml:space="preserve"> d.o.o.); </w:t>
      </w:r>
      <w:r w:rsidRPr="00A02812">
        <w:rPr>
          <w:rFonts w:eastAsia="Times New Roman"/>
          <w:b/>
          <w:bCs/>
          <w:lang w:eastAsia="hr-HR"/>
        </w:rPr>
        <w:t xml:space="preserve">RCGO </w:t>
      </w:r>
      <w:proofErr w:type="spellStart"/>
      <w:r w:rsidRPr="00A02812">
        <w:rPr>
          <w:rFonts w:eastAsia="Times New Roman"/>
          <w:b/>
          <w:bCs/>
          <w:lang w:eastAsia="hr-HR"/>
        </w:rPr>
        <w:t>Orlovnjak</w:t>
      </w:r>
      <w:proofErr w:type="spellEnd"/>
      <w:r w:rsidRPr="00706FC4">
        <w:rPr>
          <w:rFonts w:eastAsia="Times New Roman"/>
          <w:lang w:eastAsia="hr-HR"/>
        </w:rPr>
        <w:t xml:space="preserve"> (korisnik EKOS d.o.o. Osijek); te </w:t>
      </w:r>
      <w:r w:rsidRPr="00A02812">
        <w:rPr>
          <w:rFonts w:eastAsia="Times New Roman"/>
          <w:b/>
          <w:bCs/>
          <w:lang w:eastAsia="hr-HR"/>
        </w:rPr>
        <w:t>CGO Zagreb</w:t>
      </w:r>
      <w:r w:rsidRPr="00706FC4">
        <w:rPr>
          <w:rFonts w:eastAsia="Times New Roman"/>
          <w:lang w:eastAsia="hr-HR"/>
        </w:rPr>
        <w:t xml:space="preserve"> (korisnik Zagrebački centar za gospodarenje otpadom d.o.o.). </w:t>
      </w:r>
    </w:p>
    <w:p w14:paraId="70E20813" w14:textId="506277A6" w:rsidR="00D464AB" w:rsidRDefault="00D464AB" w:rsidP="003376E7">
      <w:pPr>
        <w:spacing w:before="60" w:after="60"/>
        <w:ind w:firstLine="567"/>
        <w:rPr>
          <w:rFonts w:eastAsia="Times New Roman"/>
          <w:lang w:eastAsia="hr-HR"/>
        </w:rPr>
      </w:pPr>
      <w:r w:rsidRPr="00706FC4">
        <w:rPr>
          <w:rFonts w:eastAsia="Times New Roman"/>
          <w:lang w:eastAsia="hr-HR"/>
        </w:rPr>
        <w:t xml:space="preserve">Vezano na </w:t>
      </w:r>
      <w:r w:rsidRPr="00A02812">
        <w:rPr>
          <w:rFonts w:eastAsia="Times New Roman"/>
          <w:u w:val="single"/>
          <w:lang w:eastAsia="hr-HR"/>
        </w:rPr>
        <w:t>sufinanciranje izgradnje centara za gospodarenje otpadom</w:t>
      </w:r>
      <w:r w:rsidRPr="00706FC4">
        <w:rPr>
          <w:rFonts w:eastAsia="Times New Roman"/>
          <w:lang w:eastAsia="hr-HR"/>
        </w:rPr>
        <w:t xml:space="preserve">, sufinancirano je </w:t>
      </w:r>
      <w:r w:rsidRPr="00706FC4">
        <w:rPr>
          <w:rFonts w:eastAsia="Times New Roman"/>
          <w:b/>
          <w:bCs/>
          <w:lang w:eastAsia="hr-HR"/>
        </w:rPr>
        <w:t>5 projekata</w:t>
      </w:r>
      <w:r w:rsidRPr="00706FC4">
        <w:rPr>
          <w:rFonts w:eastAsia="Times New Roman"/>
          <w:lang w:eastAsia="hr-HR"/>
        </w:rPr>
        <w:t>. Sufinanciran</w:t>
      </w:r>
      <w:r w:rsidR="0031444F">
        <w:rPr>
          <w:rFonts w:eastAsia="Times New Roman"/>
          <w:lang w:eastAsia="hr-HR"/>
        </w:rPr>
        <w:t>a</w:t>
      </w:r>
      <w:r w:rsidRPr="00706FC4">
        <w:rPr>
          <w:rFonts w:eastAsia="Times New Roman"/>
          <w:lang w:eastAsia="hr-HR"/>
        </w:rPr>
        <w:t xml:space="preserve"> je </w:t>
      </w:r>
      <w:r w:rsidR="002F5E91">
        <w:rPr>
          <w:rFonts w:eastAsia="Times New Roman"/>
          <w:lang w:eastAsia="hr-HR"/>
        </w:rPr>
        <w:t>uspostava</w:t>
      </w:r>
      <w:r w:rsidRPr="00706FC4">
        <w:rPr>
          <w:rFonts w:eastAsia="Times New Roman"/>
          <w:lang w:eastAsia="hr-HR"/>
        </w:rPr>
        <w:t xml:space="preserve"> centra za gospodarenje otpadom na području Karlovačke županije, odnosno </w:t>
      </w:r>
      <w:r w:rsidRPr="00A02812">
        <w:rPr>
          <w:rFonts w:eastAsia="Times New Roman"/>
          <w:b/>
          <w:bCs/>
          <w:lang w:eastAsia="hr-HR"/>
        </w:rPr>
        <w:t>CGO Babina Gora</w:t>
      </w:r>
      <w:r w:rsidRPr="00706FC4">
        <w:rPr>
          <w:rFonts w:eastAsia="Times New Roman"/>
          <w:lang w:eastAsia="hr-HR"/>
        </w:rPr>
        <w:t xml:space="preserve"> (korisnik </w:t>
      </w:r>
      <w:proofErr w:type="spellStart"/>
      <w:r w:rsidRPr="00706FC4">
        <w:rPr>
          <w:rFonts w:eastAsia="Times New Roman"/>
          <w:lang w:eastAsia="hr-HR"/>
        </w:rPr>
        <w:t>Kodos</w:t>
      </w:r>
      <w:proofErr w:type="spellEnd"/>
      <w:r w:rsidRPr="00706FC4">
        <w:rPr>
          <w:rFonts w:eastAsia="Times New Roman"/>
          <w:lang w:eastAsia="hr-HR"/>
        </w:rPr>
        <w:t xml:space="preserve"> d.o.o.)</w:t>
      </w:r>
      <w:r w:rsidR="00451EDE" w:rsidRPr="00706FC4">
        <w:rPr>
          <w:rFonts w:eastAsia="Times New Roman"/>
          <w:lang w:eastAsia="hr-HR"/>
        </w:rPr>
        <w:t xml:space="preserve">, </w:t>
      </w:r>
      <w:r w:rsidRPr="00706FC4">
        <w:rPr>
          <w:rFonts w:eastAsia="Times New Roman"/>
          <w:lang w:eastAsia="hr-HR"/>
        </w:rPr>
        <w:t>centr</w:t>
      </w:r>
      <w:r w:rsidR="0031444F">
        <w:rPr>
          <w:rFonts w:eastAsia="Times New Roman"/>
          <w:lang w:eastAsia="hr-HR"/>
        </w:rPr>
        <w:t>a</w:t>
      </w:r>
      <w:r w:rsidRPr="00706FC4">
        <w:rPr>
          <w:rFonts w:eastAsia="Times New Roman"/>
          <w:lang w:eastAsia="hr-HR"/>
        </w:rPr>
        <w:t xml:space="preserve"> za gospodarenje otpadom na području Dubrovačko-neretvanske županije, odnosno </w:t>
      </w:r>
      <w:r w:rsidRPr="00A02812">
        <w:rPr>
          <w:rFonts w:eastAsia="Times New Roman"/>
          <w:b/>
          <w:bCs/>
          <w:lang w:eastAsia="hr-HR"/>
        </w:rPr>
        <w:t xml:space="preserve">CGO </w:t>
      </w:r>
      <w:proofErr w:type="spellStart"/>
      <w:r w:rsidRPr="00A02812">
        <w:rPr>
          <w:rFonts w:eastAsia="Times New Roman"/>
          <w:b/>
          <w:bCs/>
          <w:lang w:eastAsia="hr-HR"/>
        </w:rPr>
        <w:t>Lučino</w:t>
      </w:r>
      <w:proofErr w:type="spellEnd"/>
      <w:r w:rsidRPr="00A02812">
        <w:rPr>
          <w:rFonts w:eastAsia="Times New Roman"/>
          <w:b/>
          <w:bCs/>
          <w:lang w:eastAsia="hr-HR"/>
        </w:rPr>
        <w:t xml:space="preserve"> </w:t>
      </w:r>
      <w:proofErr w:type="spellStart"/>
      <w:r w:rsidRPr="00A02812">
        <w:rPr>
          <w:rFonts w:eastAsia="Times New Roman"/>
          <w:b/>
          <w:bCs/>
          <w:lang w:eastAsia="hr-HR"/>
        </w:rPr>
        <w:t>Razdolje</w:t>
      </w:r>
      <w:proofErr w:type="spellEnd"/>
      <w:r w:rsidRPr="00706FC4">
        <w:rPr>
          <w:rFonts w:eastAsia="Times New Roman"/>
          <w:lang w:eastAsia="hr-HR"/>
        </w:rPr>
        <w:t xml:space="preserve"> (korisnik Agencija za gospodarenje otpadom d.o.o.)</w:t>
      </w:r>
      <w:r w:rsidR="0031444F">
        <w:rPr>
          <w:rFonts w:eastAsia="Times New Roman"/>
          <w:lang w:eastAsia="hr-HR"/>
        </w:rPr>
        <w:t>,</w:t>
      </w:r>
      <w:r w:rsidRPr="00706FC4">
        <w:rPr>
          <w:rFonts w:eastAsia="Times New Roman"/>
          <w:lang w:eastAsia="hr-HR"/>
        </w:rPr>
        <w:t xml:space="preserve"> centr</w:t>
      </w:r>
      <w:r w:rsidR="0031444F">
        <w:rPr>
          <w:rFonts w:eastAsia="Times New Roman"/>
          <w:lang w:eastAsia="hr-HR"/>
        </w:rPr>
        <w:t>a</w:t>
      </w:r>
      <w:r w:rsidRPr="00706FC4">
        <w:rPr>
          <w:rFonts w:eastAsia="Times New Roman"/>
          <w:lang w:eastAsia="hr-HR"/>
        </w:rPr>
        <w:t xml:space="preserve"> za gospodarenje otpadom na području Splitsko-dalmatinske županije, odnosno </w:t>
      </w:r>
      <w:r w:rsidRPr="00A02812">
        <w:rPr>
          <w:rFonts w:eastAsia="Times New Roman"/>
          <w:b/>
          <w:bCs/>
          <w:lang w:eastAsia="hr-HR"/>
        </w:rPr>
        <w:t xml:space="preserve">CGO </w:t>
      </w:r>
      <w:proofErr w:type="spellStart"/>
      <w:r w:rsidRPr="00A02812">
        <w:rPr>
          <w:rFonts w:eastAsia="Times New Roman"/>
          <w:b/>
          <w:bCs/>
          <w:lang w:eastAsia="hr-HR"/>
        </w:rPr>
        <w:t>Lećevica</w:t>
      </w:r>
      <w:proofErr w:type="spellEnd"/>
      <w:r w:rsidRPr="00706FC4">
        <w:rPr>
          <w:rFonts w:eastAsia="Times New Roman"/>
          <w:lang w:eastAsia="hr-HR"/>
        </w:rPr>
        <w:t xml:space="preserve"> (korisnik Regionalni centar čistog okoliša d.o.o.)</w:t>
      </w:r>
      <w:r w:rsidR="0031444F">
        <w:rPr>
          <w:rFonts w:eastAsia="Times New Roman"/>
          <w:lang w:eastAsia="hr-HR"/>
        </w:rPr>
        <w:t xml:space="preserve">, </w:t>
      </w:r>
      <w:r w:rsidR="0031444F" w:rsidRPr="0031444F">
        <w:rPr>
          <w:rFonts w:eastAsia="Times New Roman"/>
          <w:lang w:eastAsia="hr-HR"/>
        </w:rPr>
        <w:t xml:space="preserve">centra za gospodarenje otpadom na području </w:t>
      </w:r>
      <w:r w:rsidR="0031444F">
        <w:rPr>
          <w:rFonts w:eastAsia="Times New Roman"/>
          <w:lang w:eastAsia="hr-HR"/>
        </w:rPr>
        <w:t>sjeverozapadne Hrvatske</w:t>
      </w:r>
      <w:r w:rsidR="0031444F" w:rsidRPr="0031444F">
        <w:rPr>
          <w:rFonts w:eastAsia="Times New Roman"/>
          <w:lang w:eastAsia="hr-HR"/>
        </w:rPr>
        <w:t xml:space="preserve"> </w:t>
      </w:r>
      <w:r w:rsidR="0031444F" w:rsidRPr="00A02812">
        <w:rPr>
          <w:rFonts w:eastAsia="Times New Roman"/>
          <w:b/>
          <w:bCs/>
          <w:lang w:eastAsia="hr-HR"/>
        </w:rPr>
        <w:t xml:space="preserve">RCGO-a </w:t>
      </w:r>
      <w:proofErr w:type="spellStart"/>
      <w:r w:rsidR="0031444F" w:rsidRPr="00A02812">
        <w:rPr>
          <w:rFonts w:eastAsia="Times New Roman"/>
          <w:b/>
          <w:bCs/>
          <w:lang w:eastAsia="hr-HR"/>
        </w:rPr>
        <w:t>Piškornica</w:t>
      </w:r>
      <w:proofErr w:type="spellEnd"/>
      <w:r w:rsidR="0031444F" w:rsidRPr="0031444F">
        <w:rPr>
          <w:rFonts w:eastAsia="Times New Roman"/>
          <w:lang w:eastAsia="hr-HR"/>
        </w:rPr>
        <w:t xml:space="preserve"> (korisnik </w:t>
      </w:r>
      <w:proofErr w:type="spellStart"/>
      <w:r w:rsidR="0031444F" w:rsidRPr="0031444F">
        <w:rPr>
          <w:rFonts w:eastAsia="Times New Roman"/>
          <w:lang w:eastAsia="hr-HR"/>
        </w:rPr>
        <w:t>Piškornica</w:t>
      </w:r>
      <w:proofErr w:type="spellEnd"/>
      <w:r w:rsidR="0031444F" w:rsidRPr="0031444F">
        <w:rPr>
          <w:rFonts w:eastAsia="Times New Roman"/>
          <w:lang w:eastAsia="hr-HR"/>
        </w:rPr>
        <w:t xml:space="preserve"> d.o.o.) te završetak </w:t>
      </w:r>
      <w:r w:rsidR="002F5E91">
        <w:rPr>
          <w:rFonts w:eastAsia="Times New Roman"/>
          <w:lang w:eastAsia="hr-HR"/>
        </w:rPr>
        <w:t>uspostave</w:t>
      </w:r>
      <w:r w:rsidR="0031444F" w:rsidRPr="0031444F">
        <w:rPr>
          <w:rFonts w:eastAsia="Times New Roman"/>
          <w:lang w:eastAsia="hr-HR"/>
        </w:rPr>
        <w:t xml:space="preserve"> </w:t>
      </w:r>
      <w:r w:rsidR="0031444F" w:rsidRPr="00A02812">
        <w:rPr>
          <w:rFonts w:eastAsia="Times New Roman"/>
          <w:b/>
          <w:bCs/>
          <w:lang w:eastAsia="hr-HR"/>
        </w:rPr>
        <w:t>CGO Biljane Donje</w:t>
      </w:r>
      <w:r w:rsidR="0031444F" w:rsidRPr="0031444F">
        <w:rPr>
          <w:rFonts w:eastAsia="Times New Roman"/>
          <w:lang w:eastAsia="hr-HR"/>
        </w:rPr>
        <w:t xml:space="preserve"> u Zadarskoj županiji (korisnik EKO d.o.o.)</w:t>
      </w:r>
      <w:r w:rsidRPr="00706FC4">
        <w:rPr>
          <w:rFonts w:eastAsia="Times New Roman"/>
          <w:lang w:eastAsia="hr-HR"/>
        </w:rPr>
        <w:t xml:space="preserve">. </w:t>
      </w:r>
    </w:p>
    <w:p w14:paraId="089E2746" w14:textId="77777777" w:rsidR="00D64DFF" w:rsidRDefault="00D64DFF" w:rsidP="0017583B">
      <w:pPr>
        <w:spacing w:before="60" w:after="60"/>
        <w:rPr>
          <w:rFonts w:eastAsia="Times New Roman"/>
          <w:lang w:eastAsia="hr-HR"/>
        </w:rPr>
      </w:pPr>
    </w:p>
    <w:p w14:paraId="2D950873" w14:textId="311B08E1" w:rsidR="008D4D94" w:rsidRPr="003365BD" w:rsidRDefault="003449D1" w:rsidP="00077A5D">
      <w:pPr>
        <w:pStyle w:val="Naslov2"/>
        <w:numPr>
          <w:ilvl w:val="1"/>
          <w:numId w:val="31"/>
        </w:numPr>
        <w:rPr>
          <w:rFonts w:ascii="Times New Roman" w:hAnsi="Times New Roman" w:cs="Times New Roman"/>
          <w:sz w:val="24"/>
          <w:szCs w:val="24"/>
        </w:rPr>
      </w:pPr>
      <w:bookmarkStart w:id="26" w:name="_Toc226980232"/>
      <w:r w:rsidRPr="003365BD">
        <w:rPr>
          <w:rFonts w:ascii="Times New Roman" w:hAnsi="Times New Roman" w:cs="Times New Roman"/>
          <w:sz w:val="24"/>
          <w:szCs w:val="24"/>
        </w:rPr>
        <w:t>Zaključ</w:t>
      </w:r>
      <w:r w:rsidR="0095795B" w:rsidRPr="003365BD">
        <w:rPr>
          <w:rFonts w:ascii="Times New Roman" w:hAnsi="Times New Roman" w:cs="Times New Roman"/>
          <w:sz w:val="24"/>
          <w:szCs w:val="24"/>
        </w:rPr>
        <w:t>ak</w:t>
      </w:r>
      <w:r w:rsidR="003365BD">
        <w:rPr>
          <w:rFonts w:ascii="Times New Roman" w:hAnsi="Times New Roman" w:cs="Times New Roman"/>
          <w:sz w:val="24"/>
          <w:szCs w:val="24"/>
        </w:rPr>
        <w:t xml:space="preserve"> korištenja sredstava iz Plana I.</w:t>
      </w:r>
      <w:bookmarkEnd w:id="26"/>
    </w:p>
    <w:p w14:paraId="47C09FFA" w14:textId="1370C08A" w:rsidR="003449D1" w:rsidRPr="00D64DFF" w:rsidRDefault="003449D1" w:rsidP="003376E7">
      <w:pPr>
        <w:spacing w:before="60" w:after="60"/>
        <w:ind w:firstLine="709"/>
      </w:pPr>
      <w:r w:rsidRPr="00D64DFF">
        <w:t xml:space="preserve">U razdoblju </w:t>
      </w:r>
      <w:r w:rsidRPr="00D64DFF">
        <w:rPr>
          <w:b/>
          <w:bCs/>
        </w:rPr>
        <w:t>2017.</w:t>
      </w:r>
      <w:r w:rsidR="0055008F" w:rsidRPr="00D64DFF">
        <w:rPr>
          <w:b/>
          <w:bCs/>
        </w:rPr>
        <w:t xml:space="preserve"> </w:t>
      </w:r>
      <w:r w:rsidRPr="00D64DFF">
        <w:rPr>
          <w:b/>
          <w:bCs/>
        </w:rPr>
        <w:t>-</w:t>
      </w:r>
      <w:r w:rsidR="0055008F" w:rsidRPr="00D64DFF">
        <w:rPr>
          <w:b/>
          <w:bCs/>
        </w:rPr>
        <w:t xml:space="preserve"> </w:t>
      </w:r>
      <w:r w:rsidRPr="00D64DFF">
        <w:rPr>
          <w:b/>
          <w:bCs/>
        </w:rPr>
        <w:t xml:space="preserve">2020. godine ostvareno je </w:t>
      </w:r>
      <w:r w:rsidR="00BE5FA8" w:rsidRPr="00D64DFF">
        <w:rPr>
          <w:b/>
          <w:bCs/>
        </w:rPr>
        <w:t>228.920.203,6</w:t>
      </w:r>
      <w:r w:rsidR="00844A47" w:rsidRPr="00D64DFF">
        <w:rPr>
          <w:b/>
          <w:bCs/>
        </w:rPr>
        <w:t>1</w:t>
      </w:r>
      <w:r w:rsidR="00BE5FA8" w:rsidRPr="00D64DFF">
        <w:rPr>
          <w:b/>
          <w:bCs/>
        </w:rPr>
        <w:t xml:space="preserve"> EUR </w:t>
      </w:r>
      <w:r w:rsidR="00BE5FA8" w:rsidRPr="00D64DFF">
        <w:t xml:space="preserve">(protuvrijednost </w:t>
      </w:r>
      <w:r w:rsidRPr="00D64DFF">
        <w:t>1.724.799.274,06 HRK</w:t>
      </w:r>
      <w:r w:rsidR="00BE5FA8" w:rsidRPr="00D64DFF">
        <w:t>)</w:t>
      </w:r>
      <w:r w:rsidRPr="00D64DFF">
        <w:rPr>
          <w:b/>
          <w:bCs/>
        </w:rPr>
        <w:t xml:space="preserve"> prihoda</w:t>
      </w:r>
      <w:r w:rsidRPr="00D64DFF">
        <w:t xml:space="preserve"> s osnove emisijskih jedinica od čega su </w:t>
      </w:r>
      <w:bookmarkStart w:id="27" w:name="_Hlk213677094"/>
      <w:bookmarkStart w:id="28" w:name="_Hlk132636884"/>
      <w:r w:rsidR="00CC300B" w:rsidRPr="00D64DFF">
        <w:t>203.775.17</w:t>
      </w:r>
      <w:r w:rsidR="00A63225" w:rsidRPr="00D64DFF">
        <w:t>5</w:t>
      </w:r>
      <w:r w:rsidR="00CC300B" w:rsidRPr="00D64DFF">
        <w:t>,</w:t>
      </w:r>
      <w:r w:rsidR="00A63225" w:rsidRPr="00D64DFF">
        <w:t>99</w:t>
      </w:r>
      <w:r w:rsidR="00CC300B" w:rsidRPr="00D64DFF">
        <w:t xml:space="preserve"> EUR</w:t>
      </w:r>
      <w:bookmarkEnd w:id="27"/>
      <w:r w:rsidR="00CC300B" w:rsidRPr="00D64DFF">
        <w:t xml:space="preserve"> (protuvrijednost </w:t>
      </w:r>
      <w:r w:rsidRPr="00D64DFF">
        <w:rPr>
          <w:rFonts w:eastAsia="Times New Roman"/>
          <w:color w:val="000000"/>
          <w:lang w:eastAsia="hr-HR"/>
        </w:rPr>
        <w:t>1.535.344.06</w:t>
      </w:r>
      <w:r w:rsidR="00A63225" w:rsidRPr="00D64DFF">
        <w:rPr>
          <w:rFonts w:eastAsia="Times New Roman"/>
          <w:color w:val="000000"/>
          <w:lang w:eastAsia="hr-HR"/>
        </w:rPr>
        <w:t>3,46</w:t>
      </w:r>
      <w:r w:rsidRPr="00D64DFF">
        <w:rPr>
          <w:rFonts w:eastAsia="Times New Roman"/>
          <w:color w:val="000000"/>
          <w:lang w:eastAsia="hr-HR"/>
        </w:rPr>
        <w:t xml:space="preserve"> HRK</w:t>
      </w:r>
      <w:r w:rsidR="00CC300B" w:rsidRPr="00D64DFF">
        <w:rPr>
          <w:rFonts w:eastAsia="Times New Roman"/>
          <w:color w:val="000000"/>
          <w:lang w:eastAsia="hr-HR"/>
        </w:rPr>
        <w:t>)</w:t>
      </w:r>
      <w:r w:rsidRPr="00D64DFF">
        <w:rPr>
          <w:rFonts w:eastAsia="Times New Roman"/>
          <w:color w:val="000000"/>
          <w:lang w:eastAsia="hr-HR"/>
        </w:rPr>
        <w:t xml:space="preserve"> preuzete obveze, </w:t>
      </w:r>
      <w:bookmarkEnd w:id="28"/>
      <w:r w:rsidRPr="00D64DFF">
        <w:t xml:space="preserve">a ostatak u iznosu od </w:t>
      </w:r>
      <w:r w:rsidR="00CC300B" w:rsidRPr="00D64DFF">
        <w:t xml:space="preserve">25.145.027,62 EUR (protuvrijednost </w:t>
      </w:r>
      <w:r w:rsidRPr="00D64DFF">
        <w:t xml:space="preserve">189.455.210,60 </w:t>
      </w:r>
      <w:r w:rsidR="003A5291" w:rsidRPr="00D64DFF">
        <w:t>HRK</w:t>
      </w:r>
      <w:r w:rsidR="00CC300B" w:rsidRPr="00D64DFF">
        <w:t>)</w:t>
      </w:r>
      <w:r w:rsidRPr="00D64DFF">
        <w:t xml:space="preserve"> prenijet</w:t>
      </w:r>
      <w:r w:rsidR="00FC383C" w:rsidRPr="00D64DFF">
        <w:t>o</w:t>
      </w:r>
      <w:r w:rsidRPr="00D64DFF">
        <w:t xml:space="preserve"> je u Plan </w:t>
      </w:r>
      <w:r w:rsidR="00FB7B46" w:rsidRPr="00D64DFF">
        <w:t>II.</w:t>
      </w:r>
    </w:p>
    <w:p w14:paraId="2C846F98" w14:textId="7CF7259C" w:rsidR="001B18FE" w:rsidRPr="00D64DFF" w:rsidRDefault="003449D1" w:rsidP="003376E7">
      <w:pPr>
        <w:spacing w:before="60" w:after="60"/>
        <w:ind w:firstLine="567"/>
      </w:pPr>
      <w:r w:rsidRPr="00D64DFF">
        <w:t>U razdoblju</w:t>
      </w:r>
      <w:r w:rsidR="008E1F37" w:rsidRPr="00D64DFF">
        <w:t xml:space="preserve"> </w:t>
      </w:r>
      <w:r w:rsidR="008E1F37" w:rsidRPr="00D64DFF">
        <w:rPr>
          <w:b/>
          <w:bCs/>
        </w:rPr>
        <w:t>20</w:t>
      </w:r>
      <w:r w:rsidRPr="00D64DFF">
        <w:rPr>
          <w:b/>
          <w:bCs/>
        </w:rPr>
        <w:t>17. – 202</w:t>
      </w:r>
      <w:r w:rsidR="00CC300B" w:rsidRPr="00D64DFF">
        <w:rPr>
          <w:b/>
          <w:bCs/>
        </w:rPr>
        <w:t>4</w:t>
      </w:r>
      <w:r w:rsidRPr="00D64DFF">
        <w:rPr>
          <w:b/>
          <w:bCs/>
        </w:rPr>
        <w:t xml:space="preserve">. realizirano je </w:t>
      </w:r>
      <w:r w:rsidR="00F23E05" w:rsidRPr="00D64DFF">
        <w:rPr>
          <w:b/>
          <w:bCs/>
        </w:rPr>
        <w:t xml:space="preserve">(isplaćeno) </w:t>
      </w:r>
      <w:r w:rsidR="00844A47" w:rsidRPr="00D64DFF">
        <w:rPr>
          <w:b/>
          <w:bCs/>
        </w:rPr>
        <w:t>166.833.64</w:t>
      </w:r>
      <w:r w:rsidR="00A63225" w:rsidRPr="00D64DFF">
        <w:rPr>
          <w:b/>
          <w:bCs/>
        </w:rPr>
        <w:t>3,95</w:t>
      </w:r>
      <w:r w:rsidR="00844A47" w:rsidRPr="00D64DFF">
        <w:rPr>
          <w:b/>
          <w:bCs/>
        </w:rPr>
        <w:t xml:space="preserve"> EUR</w:t>
      </w:r>
      <w:r w:rsidR="00F23E05" w:rsidRPr="00D64DFF">
        <w:t>, od čega u 202</w:t>
      </w:r>
      <w:r w:rsidR="00CC300B" w:rsidRPr="00D64DFF">
        <w:t>3</w:t>
      </w:r>
      <w:r w:rsidR="00F23E05" w:rsidRPr="00D64DFF">
        <w:t>. i 202</w:t>
      </w:r>
      <w:r w:rsidR="00CC300B" w:rsidRPr="00D64DFF">
        <w:t>4</w:t>
      </w:r>
      <w:r w:rsidR="00F23E05" w:rsidRPr="00D64DFF">
        <w:t xml:space="preserve">. godini </w:t>
      </w:r>
      <w:r w:rsidR="00844A47" w:rsidRPr="00D64DFF">
        <w:t>28.249.734,26 EUR</w:t>
      </w:r>
      <w:r w:rsidR="001B18FE" w:rsidRPr="00D64DFF">
        <w:t xml:space="preserve"> te je s 31.</w:t>
      </w:r>
      <w:r w:rsidR="00DC5967" w:rsidRPr="00D64DFF">
        <w:t xml:space="preserve"> </w:t>
      </w:r>
      <w:r w:rsidR="001B18FE" w:rsidRPr="00D64DFF">
        <w:t>12.</w:t>
      </w:r>
      <w:r w:rsidR="00DC5967" w:rsidRPr="00D64DFF">
        <w:t xml:space="preserve"> </w:t>
      </w:r>
      <w:r w:rsidR="001B18FE" w:rsidRPr="00D64DFF">
        <w:t>2024.</w:t>
      </w:r>
      <w:r w:rsidR="00FC383C" w:rsidRPr="00D64DFF">
        <w:t xml:space="preserve"> preostalo još </w:t>
      </w:r>
      <w:r w:rsidR="001B18FE" w:rsidRPr="00745A5E">
        <w:rPr>
          <w:b/>
          <w:bCs/>
        </w:rPr>
        <w:t xml:space="preserve">23.970.962,31 </w:t>
      </w:r>
      <w:r w:rsidR="00844A47" w:rsidRPr="00745A5E">
        <w:rPr>
          <w:b/>
          <w:bCs/>
        </w:rPr>
        <w:t>EUR</w:t>
      </w:r>
      <w:r w:rsidR="00FC383C" w:rsidRPr="00D64DFF">
        <w:t xml:space="preserve"> </w:t>
      </w:r>
      <w:r w:rsidR="00FB7B46" w:rsidRPr="00D64DFF">
        <w:t>preuzetih obveza (koje se odnose na višegodišnje projekte koji su još u provedbi)</w:t>
      </w:r>
      <w:r w:rsidR="001B18FE" w:rsidRPr="00D64DFF">
        <w:t>.</w:t>
      </w:r>
    </w:p>
    <w:p w14:paraId="76AC13D7" w14:textId="7A38B71E" w:rsidR="00775F67" w:rsidRDefault="00D958BA" w:rsidP="003376E7">
      <w:pPr>
        <w:spacing w:before="60" w:after="60"/>
        <w:ind w:firstLine="567"/>
        <w:rPr>
          <w:b/>
          <w:bCs/>
        </w:rPr>
      </w:pPr>
      <w:r>
        <w:rPr>
          <w:b/>
          <w:bCs/>
        </w:rPr>
        <w:lastRenderedPageBreak/>
        <w:t>Tablica 2. – Sažetak konačnog utroška sredstava</w:t>
      </w:r>
      <w:r w:rsidR="00500B00">
        <w:rPr>
          <w:b/>
          <w:bCs/>
        </w:rPr>
        <w:t xml:space="preserve"> iz Plana 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20"/>
        <w:gridCol w:w="2687"/>
        <w:gridCol w:w="3255"/>
      </w:tblGrid>
      <w:tr w:rsidR="00775F67" w:rsidRPr="00775F67" w14:paraId="6D0B8A54" w14:textId="77777777" w:rsidTr="00775F67">
        <w:trPr>
          <w:tblHeader/>
          <w:tblCellSpacing w:w="15" w:type="dxa"/>
        </w:trPr>
        <w:tc>
          <w:tcPr>
            <w:tcW w:w="0" w:type="auto"/>
            <w:vAlign w:val="center"/>
            <w:hideMark/>
          </w:tcPr>
          <w:p w14:paraId="14553CBB" w14:textId="01510368" w:rsidR="00775F67" w:rsidRPr="00775F67" w:rsidRDefault="00745A5E" w:rsidP="00745A5E">
            <w:pPr>
              <w:spacing w:before="60" w:after="60"/>
              <w:ind w:firstLine="567"/>
              <w:jc w:val="center"/>
              <w:rPr>
                <w:rFonts w:eastAsia="Times New Roman"/>
                <w:b/>
                <w:bCs/>
                <w:color w:val="000000"/>
                <w:lang w:eastAsia="hr-HR"/>
              </w:rPr>
            </w:pPr>
            <w:r>
              <w:rPr>
                <w:rFonts w:eastAsia="Times New Roman"/>
                <w:b/>
                <w:bCs/>
                <w:color w:val="000000"/>
                <w:lang w:eastAsia="hr-HR"/>
              </w:rPr>
              <w:t>Konačan utrošak sredstava</w:t>
            </w:r>
          </w:p>
        </w:tc>
        <w:tc>
          <w:tcPr>
            <w:tcW w:w="2657" w:type="dxa"/>
            <w:vAlign w:val="center"/>
            <w:hideMark/>
          </w:tcPr>
          <w:p w14:paraId="25078616" w14:textId="39D5D47F" w:rsidR="00775F67" w:rsidRPr="00775F67" w:rsidRDefault="00775F67" w:rsidP="00775F67">
            <w:pPr>
              <w:spacing w:before="60" w:after="60"/>
              <w:ind w:firstLine="567"/>
              <w:rPr>
                <w:rFonts w:eastAsia="Times New Roman"/>
                <w:b/>
                <w:bCs/>
                <w:color w:val="000000"/>
                <w:lang w:eastAsia="hr-HR"/>
              </w:rPr>
            </w:pPr>
            <w:r w:rsidRPr="00775F67">
              <w:rPr>
                <w:rFonts w:eastAsia="Times New Roman"/>
                <w:b/>
                <w:bCs/>
                <w:color w:val="000000"/>
                <w:lang w:eastAsia="hr-HR"/>
              </w:rPr>
              <w:t>2017</w:t>
            </w:r>
            <w:r w:rsidR="00745A5E">
              <w:rPr>
                <w:rFonts w:eastAsia="Times New Roman"/>
                <w:b/>
                <w:bCs/>
                <w:color w:val="000000"/>
                <w:lang w:eastAsia="hr-HR"/>
              </w:rPr>
              <w:t xml:space="preserve">. </w:t>
            </w:r>
            <w:r w:rsidRPr="00775F67">
              <w:rPr>
                <w:rFonts w:eastAsia="Times New Roman"/>
                <w:b/>
                <w:bCs/>
                <w:color w:val="000000"/>
                <w:lang w:eastAsia="hr-HR"/>
              </w:rPr>
              <w:t>–</w:t>
            </w:r>
            <w:r w:rsidR="00745A5E">
              <w:rPr>
                <w:rFonts w:eastAsia="Times New Roman"/>
                <w:b/>
                <w:bCs/>
                <w:color w:val="000000"/>
                <w:lang w:eastAsia="hr-HR"/>
              </w:rPr>
              <w:t xml:space="preserve"> </w:t>
            </w:r>
            <w:r w:rsidRPr="00775F67">
              <w:rPr>
                <w:rFonts w:eastAsia="Times New Roman"/>
                <w:b/>
                <w:bCs/>
                <w:color w:val="000000"/>
                <w:lang w:eastAsia="hr-HR"/>
              </w:rPr>
              <w:t>2020</w:t>
            </w:r>
            <w:r w:rsidR="00745A5E">
              <w:rPr>
                <w:rFonts w:eastAsia="Times New Roman"/>
                <w:b/>
                <w:bCs/>
                <w:color w:val="000000"/>
                <w:lang w:eastAsia="hr-HR"/>
              </w:rPr>
              <w:t>.</w:t>
            </w:r>
            <w:r>
              <w:rPr>
                <w:rFonts w:eastAsia="Times New Roman"/>
                <w:b/>
                <w:bCs/>
                <w:color w:val="000000"/>
                <w:lang w:eastAsia="hr-HR"/>
              </w:rPr>
              <w:t xml:space="preserve"> (EUR)</w:t>
            </w:r>
          </w:p>
        </w:tc>
        <w:tc>
          <w:tcPr>
            <w:tcW w:w="3210" w:type="dxa"/>
            <w:vAlign w:val="center"/>
            <w:hideMark/>
          </w:tcPr>
          <w:p w14:paraId="2CAFBDA7" w14:textId="20D5B888" w:rsidR="00775F67" w:rsidRPr="00775F67" w:rsidRDefault="00775F67" w:rsidP="00775F67">
            <w:pPr>
              <w:spacing w:before="60" w:after="60"/>
              <w:ind w:firstLine="567"/>
              <w:rPr>
                <w:rFonts w:eastAsia="Times New Roman"/>
                <w:b/>
                <w:bCs/>
                <w:color w:val="000000"/>
                <w:lang w:eastAsia="hr-HR"/>
              </w:rPr>
            </w:pPr>
            <w:r w:rsidRPr="00775F67">
              <w:rPr>
                <w:rFonts w:eastAsia="Times New Roman"/>
                <w:b/>
                <w:bCs/>
                <w:color w:val="000000"/>
                <w:lang w:eastAsia="hr-HR"/>
              </w:rPr>
              <w:t>2017</w:t>
            </w:r>
            <w:r w:rsidR="00745A5E">
              <w:rPr>
                <w:rFonts w:eastAsia="Times New Roman"/>
                <w:b/>
                <w:bCs/>
                <w:color w:val="000000"/>
                <w:lang w:eastAsia="hr-HR"/>
              </w:rPr>
              <w:t xml:space="preserve">. </w:t>
            </w:r>
            <w:r w:rsidRPr="00775F67">
              <w:rPr>
                <w:rFonts w:eastAsia="Times New Roman"/>
                <w:b/>
                <w:bCs/>
                <w:color w:val="000000"/>
                <w:lang w:eastAsia="hr-HR"/>
              </w:rPr>
              <w:t>–</w:t>
            </w:r>
            <w:r w:rsidR="00745A5E">
              <w:rPr>
                <w:rFonts w:eastAsia="Times New Roman"/>
                <w:b/>
                <w:bCs/>
                <w:color w:val="000000"/>
                <w:lang w:eastAsia="hr-HR"/>
              </w:rPr>
              <w:t xml:space="preserve"> </w:t>
            </w:r>
            <w:r w:rsidRPr="00775F67">
              <w:rPr>
                <w:rFonts w:eastAsia="Times New Roman"/>
                <w:b/>
                <w:bCs/>
                <w:color w:val="000000"/>
                <w:lang w:eastAsia="hr-HR"/>
              </w:rPr>
              <w:t>2024</w:t>
            </w:r>
            <w:r w:rsidR="00745A5E">
              <w:rPr>
                <w:rFonts w:eastAsia="Times New Roman"/>
                <w:b/>
                <w:bCs/>
                <w:color w:val="000000"/>
                <w:lang w:eastAsia="hr-HR"/>
              </w:rPr>
              <w:t>.</w:t>
            </w:r>
            <w:r>
              <w:rPr>
                <w:rFonts w:eastAsia="Times New Roman"/>
                <w:b/>
                <w:bCs/>
                <w:color w:val="000000"/>
                <w:lang w:eastAsia="hr-HR"/>
              </w:rPr>
              <w:t xml:space="preserve"> (EUR)</w:t>
            </w:r>
          </w:p>
        </w:tc>
      </w:tr>
      <w:tr w:rsidR="00775F67" w:rsidRPr="00775F67" w14:paraId="23856AA7" w14:textId="77777777" w:rsidTr="00775F67">
        <w:trPr>
          <w:tblCellSpacing w:w="15" w:type="dxa"/>
        </w:trPr>
        <w:tc>
          <w:tcPr>
            <w:tcW w:w="0" w:type="auto"/>
            <w:vAlign w:val="center"/>
            <w:hideMark/>
          </w:tcPr>
          <w:p w14:paraId="6EC6B079" w14:textId="77777777" w:rsidR="00775F67" w:rsidRPr="00775F67" w:rsidRDefault="00775F67" w:rsidP="00775F67">
            <w:pPr>
              <w:spacing w:before="60" w:after="60"/>
              <w:ind w:firstLine="567"/>
              <w:rPr>
                <w:rFonts w:eastAsia="Times New Roman"/>
                <w:b/>
                <w:bCs/>
                <w:color w:val="000000"/>
                <w:lang w:eastAsia="hr-HR"/>
              </w:rPr>
            </w:pPr>
            <w:r w:rsidRPr="00775F67">
              <w:rPr>
                <w:rFonts w:eastAsia="Times New Roman"/>
                <w:b/>
                <w:bCs/>
                <w:color w:val="000000"/>
                <w:lang w:eastAsia="hr-HR"/>
              </w:rPr>
              <w:t>Uprihođeno</w:t>
            </w:r>
          </w:p>
        </w:tc>
        <w:tc>
          <w:tcPr>
            <w:tcW w:w="2657" w:type="dxa"/>
            <w:vAlign w:val="center"/>
            <w:hideMark/>
          </w:tcPr>
          <w:p w14:paraId="576D0AD1" w14:textId="548609DA" w:rsidR="00775F67" w:rsidRPr="00775F67" w:rsidRDefault="00775F67" w:rsidP="006A020F">
            <w:pPr>
              <w:spacing w:before="60" w:after="60"/>
              <w:jc w:val="left"/>
              <w:rPr>
                <w:rFonts w:eastAsia="Times New Roman"/>
                <w:b/>
                <w:bCs/>
                <w:color w:val="000000"/>
                <w:lang w:eastAsia="hr-HR"/>
              </w:rPr>
            </w:pPr>
            <w:r w:rsidRPr="00775F67">
              <w:rPr>
                <w:rFonts w:eastAsia="Times New Roman"/>
                <w:b/>
                <w:bCs/>
                <w:color w:val="000000"/>
                <w:lang w:eastAsia="hr-HR"/>
              </w:rPr>
              <w:t xml:space="preserve">228.920.203,61 </w:t>
            </w:r>
          </w:p>
        </w:tc>
        <w:tc>
          <w:tcPr>
            <w:tcW w:w="3210" w:type="dxa"/>
            <w:vAlign w:val="center"/>
            <w:hideMark/>
          </w:tcPr>
          <w:p w14:paraId="0D44CD52" w14:textId="74E86FA9" w:rsidR="00775F67" w:rsidRPr="00775F67" w:rsidRDefault="00745A5E" w:rsidP="00775F67">
            <w:pPr>
              <w:spacing w:before="60" w:after="60"/>
              <w:ind w:firstLine="567"/>
              <w:jc w:val="left"/>
              <w:rPr>
                <w:rFonts w:eastAsia="Times New Roman"/>
                <w:b/>
                <w:bCs/>
                <w:color w:val="000000"/>
                <w:lang w:eastAsia="hr-HR"/>
              </w:rPr>
            </w:pPr>
            <w:r>
              <w:rPr>
                <w:rFonts w:eastAsia="Times New Roman"/>
                <w:b/>
                <w:bCs/>
                <w:color w:val="000000"/>
                <w:lang w:eastAsia="hr-HR"/>
              </w:rPr>
              <w:t>-</w:t>
            </w:r>
          </w:p>
        </w:tc>
      </w:tr>
      <w:tr w:rsidR="00775F67" w:rsidRPr="00775F67" w14:paraId="19FCD206" w14:textId="77777777" w:rsidTr="00775F67">
        <w:trPr>
          <w:tblCellSpacing w:w="15" w:type="dxa"/>
        </w:trPr>
        <w:tc>
          <w:tcPr>
            <w:tcW w:w="0" w:type="auto"/>
            <w:vAlign w:val="center"/>
            <w:hideMark/>
          </w:tcPr>
          <w:p w14:paraId="5059546B" w14:textId="77777777" w:rsidR="00775F67" w:rsidRPr="00775F67" w:rsidRDefault="00775F67" w:rsidP="00775F67">
            <w:pPr>
              <w:spacing w:before="60" w:after="60"/>
              <w:ind w:firstLine="567"/>
              <w:rPr>
                <w:rFonts w:eastAsia="Times New Roman"/>
                <w:b/>
                <w:bCs/>
                <w:color w:val="000000"/>
                <w:lang w:eastAsia="hr-HR"/>
              </w:rPr>
            </w:pPr>
            <w:r w:rsidRPr="00775F67">
              <w:rPr>
                <w:rFonts w:eastAsia="Times New Roman"/>
                <w:b/>
                <w:bCs/>
                <w:color w:val="000000"/>
                <w:lang w:eastAsia="hr-HR"/>
              </w:rPr>
              <w:t>Preuzete obveze</w:t>
            </w:r>
          </w:p>
        </w:tc>
        <w:tc>
          <w:tcPr>
            <w:tcW w:w="2657" w:type="dxa"/>
            <w:vAlign w:val="center"/>
            <w:hideMark/>
          </w:tcPr>
          <w:p w14:paraId="0E087F37" w14:textId="3534E289" w:rsidR="00775F67" w:rsidRPr="00775F67" w:rsidRDefault="00775F67" w:rsidP="006A020F">
            <w:pPr>
              <w:spacing w:before="60" w:after="60"/>
              <w:jc w:val="left"/>
              <w:rPr>
                <w:rFonts w:eastAsia="Times New Roman"/>
                <w:b/>
                <w:bCs/>
                <w:color w:val="000000"/>
                <w:lang w:eastAsia="hr-HR"/>
              </w:rPr>
            </w:pPr>
            <w:r w:rsidRPr="00775F67">
              <w:rPr>
                <w:rFonts w:eastAsia="Times New Roman"/>
                <w:b/>
                <w:bCs/>
                <w:color w:val="000000"/>
                <w:lang w:eastAsia="hr-HR"/>
              </w:rPr>
              <w:t xml:space="preserve">203.775.175,99 </w:t>
            </w:r>
          </w:p>
        </w:tc>
        <w:tc>
          <w:tcPr>
            <w:tcW w:w="3210" w:type="dxa"/>
            <w:vAlign w:val="center"/>
            <w:hideMark/>
          </w:tcPr>
          <w:p w14:paraId="77051B7F" w14:textId="0DA10278" w:rsidR="00775F67" w:rsidRPr="00775F67" w:rsidRDefault="00745A5E" w:rsidP="00775F67">
            <w:pPr>
              <w:spacing w:before="60" w:after="60"/>
              <w:ind w:firstLine="567"/>
              <w:jc w:val="left"/>
              <w:rPr>
                <w:rFonts w:eastAsia="Times New Roman"/>
                <w:b/>
                <w:bCs/>
                <w:color w:val="000000"/>
                <w:lang w:eastAsia="hr-HR"/>
              </w:rPr>
            </w:pPr>
            <w:r>
              <w:rPr>
                <w:rFonts w:eastAsia="Times New Roman"/>
                <w:b/>
                <w:bCs/>
                <w:color w:val="000000"/>
                <w:lang w:eastAsia="hr-HR"/>
              </w:rPr>
              <w:t>-</w:t>
            </w:r>
          </w:p>
        </w:tc>
      </w:tr>
      <w:tr w:rsidR="00775F67" w:rsidRPr="00775F67" w14:paraId="7A286286" w14:textId="77777777" w:rsidTr="00775F67">
        <w:trPr>
          <w:tblCellSpacing w:w="15" w:type="dxa"/>
        </w:trPr>
        <w:tc>
          <w:tcPr>
            <w:tcW w:w="0" w:type="auto"/>
            <w:vAlign w:val="center"/>
            <w:hideMark/>
          </w:tcPr>
          <w:p w14:paraId="1311DF76" w14:textId="77777777" w:rsidR="00775F67" w:rsidRPr="00775F67" w:rsidRDefault="00775F67" w:rsidP="00775F67">
            <w:pPr>
              <w:spacing w:before="60" w:after="60"/>
              <w:ind w:firstLine="567"/>
              <w:rPr>
                <w:rFonts w:eastAsia="Times New Roman"/>
                <w:b/>
                <w:bCs/>
                <w:color w:val="000000"/>
                <w:lang w:eastAsia="hr-HR"/>
              </w:rPr>
            </w:pPr>
            <w:r w:rsidRPr="00775F67">
              <w:rPr>
                <w:rFonts w:eastAsia="Times New Roman"/>
                <w:b/>
                <w:bCs/>
                <w:color w:val="000000"/>
                <w:lang w:eastAsia="hr-HR"/>
              </w:rPr>
              <w:t>Realizirano (isplaćeno)</w:t>
            </w:r>
          </w:p>
        </w:tc>
        <w:tc>
          <w:tcPr>
            <w:tcW w:w="2657" w:type="dxa"/>
            <w:vAlign w:val="center"/>
            <w:hideMark/>
          </w:tcPr>
          <w:p w14:paraId="2FB67CF2" w14:textId="22C8E8AE" w:rsidR="00775F67" w:rsidRPr="00775F67" w:rsidRDefault="006A020F" w:rsidP="00775F67">
            <w:pPr>
              <w:spacing w:before="60" w:after="60"/>
              <w:ind w:firstLine="567"/>
              <w:jc w:val="left"/>
              <w:rPr>
                <w:rFonts w:eastAsia="Times New Roman"/>
                <w:b/>
                <w:bCs/>
                <w:color w:val="000000"/>
                <w:lang w:eastAsia="hr-HR"/>
              </w:rPr>
            </w:pPr>
            <w:r>
              <w:rPr>
                <w:rFonts w:eastAsia="Times New Roman"/>
                <w:b/>
                <w:bCs/>
                <w:color w:val="000000"/>
                <w:lang w:eastAsia="hr-HR"/>
              </w:rPr>
              <w:t>-</w:t>
            </w:r>
          </w:p>
        </w:tc>
        <w:tc>
          <w:tcPr>
            <w:tcW w:w="3210" w:type="dxa"/>
            <w:vAlign w:val="center"/>
            <w:hideMark/>
          </w:tcPr>
          <w:p w14:paraId="38770B10" w14:textId="77777777" w:rsidR="00775F67" w:rsidRDefault="00775F67" w:rsidP="006A020F">
            <w:pPr>
              <w:spacing w:before="60" w:after="60"/>
              <w:jc w:val="left"/>
              <w:rPr>
                <w:rFonts w:eastAsia="Times New Roman"/>
                <w:b/>
                <w:bCs/>
                <w:color w:val="000000"/>
                <w:lang w:eastAsia="hr-HR"/>
              </w:rPr>
            </w:pPr>
            <w:r w:rsidRPr="00775F67">
              <w:rPr>
                <w:rFonts w:eastAsia="Times New Roman"/>
                <w:b/>
                <w:bCs/>
                <w:color w:val="000000"/>
                <w:lang w:eastAsia="hr-HR"/>
              </w:rPr>
              <w:t xml:space="preserve">166.833.643,95 </w:t>
            </w:r>
          </w:p>
          <w:p w14:paraId="06E429E8" w14:textId="20E55B3D" w:rsidR="00775F67" w:rsidRPr="00775F67" w:rsidRDefault="00775F67" w:rsidP="006A020F">
            <w:pPr>
              <w:spacing w:before="60" w:after="60"/>
              <w:jc w:val="left"/>
              <w:rPr>
                <w:rFonts w:eastAsia="Times New Roman"/>
                <w:b/>
                <w:bCs/>
                <w:color w:val="000000"/>
                <w:lang w:eastAsia="hr-HR"/>
              </w:rPr>
            </w:pPr>
            <w:r w:rsidRPr="00775F67">
              <w:rPr>
                <w:rFonts w:eastAsia="Times New Roman"/>
                <w:b/>
                <w:bCs/>
                <w:i/>
                <w:iCs/>
                <w:color w:val="000000"/>
                <w:lang w:eastAsia="hr-HR"/>
              </w:rPr>
              <w:t>(</w:t>
            </w:r>
            <w:r w:rsidRPr="00775F67">
              <w:rPr>
                <w:rFonts w:eastAsia="Times New Roman"/>
                <w:i/>
                <w:iCs/>
                <w:color w:val="000000"/>
                <w:lang w:eastAsia="hr-HR"/>
              </w:rPr>
              <w:t>2023–2024:</w:t>
            </w:r>
            <w:r w:rsidRPr="00775F67">
              <w:rPr>
                <w:rFonts w:eastAsia="Times New Roman"/>
                <w:b/>
                <w:bCs/>
                <w:i/>
                <w:iCs/>
                <w:color w:val="000000"/>
                <w:lang w:eastAsia="hr-HR"/>
              </w:rPr>
              <w:t xml:space="preserve"> </w:t>
            </w:r>
            <w:r w:rsidRPr="00775F67">
              <w:rPr>
                <w:rFonts w:eastAsia="Times New Roman"/>
                <w:b/>
                <w:bCs/>
                <w:color w:val="000000"/>
                <w:lang w:eastAsia="hr-HR"/>
              </w:rPr>
              <w:t>28.249.734,26</w:t>
            </w:r>
            <w:r w:rsidRPr="00775F67">
              <w:rPr>
                <w:rFonts w:eastAsia="Times New Roman"/>
                <w:b/>
                <w:bCs/>
                <w:i/>
                <w:iCs/>
                <w:color w:val="000000"/>
                <w:lang w:eastAsia="hr-HR"/>
              </w:rPr>
              <w:t>)</w:t>
            </w:r>
          </w:p>
        </w:tc>
      </w:tr>
      <w:tr w:rsidR="00775F67" w:rsidRPr="00775F67" w14:paraId="2E842842" w14:textId="77777777" w:rsidTr="00775F67">
        <w:trPr>
          <w:tblCellSpacing w:w="15" w:type="dxa"/>
        </w:trPr>
        <w:tc>
          <w:tcPr>
            <w:tcW w:w="0" w:type="auto"/>
            <w:vAlign w:val="center"/>
            <w:hideMark/>
          </w:tcPr>
          <w:p w14:paraId="7A58A630" w14:textId="27030024" w:rsidR="00775F67" w:rsidRPr="00775F67" w:rsidRDefault="00775F67" w:rsidP="00775F67">
            <w:pPr>
              <w:spacing w:before="60" w:after="60"/>
              <w:ind w:firstLine="567"/>
              <w:rPr>
                <w:rFonts w:eastAsia="Times New Roman"/>
                <w:b/>
                <w:bCs/>
                <w:color w:val="000000"/>
                <w:lang w:eastAsia="hr-HR"/>
              </w:rPr>
            </w:pPr>
            <w:r w:rsidRPr="00775F67">
              <w:rPr>
                <w:rFonts w:eastAsia="Times New Roman"/>
                <w:b/>
                <w:bCs/>
                <w:color w:val="000000"/>
                <w:lang w:eastAsia="hr-HR"/>
              </w:rPr>
              <w:t>Preneseno u Plan II</w:t>
            </w:r>
            <w:r w:rsidR="00E2069A">
              <w:rPr>
                <w:rFonts w:eastAsia="Times New Roman"/>
                <w:b/>
                <w:bCs/>
                <w:color w:val="000000"/>
                <w:lang w:eastAsia="hr-HR"/>
              </w:rPr>
              <w:t xml:space="preserve"> 2021.</w:t>
            </w:r>
          </w:p>
        </w:tc>
        <w:tc>
          <w:tcPr>
            <w:tcW w:w="2657" w:type="dxa"/>
            <w:vAlign w:val="center"/>
            <w:hideMark/>
          </w:tcPr>
          <w:p w14:paraId="35EC74DA" w14:textId="62C9F8B5" w:rsidR="00775F67" w:rsidRPr="00775F67" w:rsidRDefault="00775F67" w:rsidP="006A020F">
            <w:pPr>
              <w:spacing w:before="60" w:after="60"/>
              <w:jc w:val="left"/>
              <w:rPr>
                <w:rFonts w:eastAsia="Times New Roman"/>
                <w:b/>
                <w:bCs/>
                <w:color w:val="000000"/>
                <w:lang w:eastAsia="hr-HR"/>
              </w:rPr>
            </w:pPr>
            <w:r w:rsidRPr="00775F67">
              <w:rPr>
                <w:rFonts w:eastAsia="Times New Roman"/>
                <w:b/>
                <w:bCs/>
                <w:color w:val="000000"/>
                <w:lang w:eastAsia="hr-HR"/>
              </w:rPr>
              <w:t>25.145.027,62</w:t>
            </w:r>
          </w:p>
        </w:tc>
        <w:tc>
          <w:tcPr>
            <w:tcW w:w="3210" w:type="dxa"/>
            <w:vAlign w:val="center"/>
            <w:hideMark/>
          </w:tcPr>
          <w:p w14:paraId="4B4B9AF3" w14:textId="32C36907" w:rsidR="00775F67" w:rsidRPr="00775F67" w:rsidRDefault="00745A5E" w:rsidP="00775F67">
            <w:pPr>
              <w:spacing w:before="60" w:after="60"/>
              <w:ind w:firstLine="567"/>
              <w:jc w:val="left"/>
              <w:rPr>
                <w:rFonts w:eastAsia="Times New Roman"/>
                <w:b/>
                <w:bCs/>
                <w:color w:val="000000"/>
                <w:lang w:eastAsia="hr-HR"/>
              </w:rPr>
            </w:pPr>
            <w:r>
              <w:rPr>
                <w:rFonts w:eastAsia="Times New Roman"/>
                <w:b/>
                <w:bCs/>
                <w:color w:val="000000"/>
                <w:lang w:eastAsia="hr-HR"/>
              </w:rPr>
              <w:t>-</w:t>
            </w:r>
          </w:p>
        </w:tc>
      </w:tr>
      <w:tr w:rsidR="00D64DFF" w:rsidRPr="00775F67" w14:paraId="11D604EB" w14:textId="77777777" w:rsidTr="00775F67">
        <w:trPr>
          <w:tblCellSpacing w:w="15" w:type="dxa"/>
        </w:trPr>
        <w:tc>
          <w:tcPr>
            <w:tcW w:w="0" w:type="auto"/>
            <w:vAlign w:val="center"/>
          </w:tcPr>
          <w:p w14:paraId="55189789" w14:textId="017F821B" w:rsidR="00D64DFF" w:rsidRDefault="00D64DFF" w:rsidP="00775F67">
            <w:pPr>
              <w:spacing w:before="60" w:after="60"/>
              <w:ind w:firstLine="567"/>
              <w:rPr>
                <w:rFonts w:eastAsia="Times New Roman"/>
                <w:b/>
                <w:bCs/>
                <w:color w:val="000000"/>
                <w:lang w:eastAsia="hr-HR"/>
              </w:rPr>
            </w:pPr>
            <w:r>
              <w:rPr>
                <w:rFonts w:eastAsia="Times New Roman"/>
                <w:b/>
                <w:bCs/>
                <w:color w:val="000000"/>
                <w:lang w:eastAsia="hr-HR"/>
              </w:rPr>
              <w:t>Neutrošena sredstva na 31.</w:t>
            </w:r>
            <w:r w:rsidR="00E2069A">
              <w:rPr>
                <w:rFonts w:eastAsia="Times New Roman"/>
                <w:b/>
                <w:bCs/>
                <w:color w:val="000000"/>
                <w:lang w:eastAsia="hr-HR"/>
              </w:rPr>
              <w:t xml:space="preserve"> </w:t>
            </w:r>
            <w:r>
              <w:rPr>
                <w:rFonts w:eastAsia="Times New Roman"/>
                <w:b/>
                <w:bCs/>
                <w:color w:val="000000"/>
                <w:lang w:eastAsia="hr-HR"/>
              </w:rPr>
              <w:t>12.</w:t>
            </w:r>
            <w:r w:rsidR="00E2069A">
              <w:rPr>
                <w:rFonts w:eastAsia="Times New Roman"/>
                <w:b/>
                <w:bCs/>
                <w:color w:val="000000"/>
                <w:lang w:eastAsia="hr-HR"/>
              </w:rPr>
              <w:t xml:space="preserve"> </w:t>
            </w:r>
            <w:r>
              <w:rPr>
                <w:rFonts w:eastAsia="Times New Roman"/>
                <w:b/>
                <w:bCs/>
                <w:color w:val="000000"/>
                <w:lang w:eastAsia="hr-HR"/>
              </w:rPr>
              <w:t>2024.</w:t>
            </w:r>
          </w:p>
        </w:tc>
        <w:tc>
          <w:tcPr>
            <w:tcW w:w="2657" w:type="dxa"/>
            <w:vAlign w:val="center"/>
          </w:tcPr>
          <w:p w14:paraId="2B7A3352" w14:textId="445F5CF4" w:rsidR="00D64DFF" w:rsidRDefault="00745A5E" w:rsidP="006A020F">
            <w:pPr>
              <w:spacing w:before="60" w:after="60"/>
              <w:jc w:val="left"/>
              <w:rPr>
                <w:rFonts w:eastAsia="Times New Roman"/>
                <w:b/>
                <w:bCs/>
                <w:color w:val="000000"/>
                <w:lang w:eastAsia="hr-HR"/>
              </w:rPr>
            </w:pPr>
            <w:r>
              <w:rPr>
                <w:rFonts w:eastAsia="Times New Roman"/>
                <w:b/>
                <w:bCs/>
                <w:color w:val="000000"/>
                <w:lang w:eastAsia="hr-HR"/>
              </w:rPr>
              <w:t xml:space="preserve">         -</w:t>
            </w:r>
          </w:p>
        </w:tc>
        <w:tc>
          <w:tcPr>
            <w:tcW w:w="3210" w:type="dxa"/>
            <w:vAlign w:val="center"/>
          </w:tcPr>
          <w:p w14:paraId="0A0F8E62" w14:textId="368ED208" w:rsidR="00D64DFF" w:rsidRPr="00775F67" w:rsidRDefault="00745A5E" w:rsidP="00745A5E">
            <w:pPr>
              <w:spacing w:before="60" w:after="60"/>
              <w:jc w:val="left"/>
              <w:rPr>
                <w:rFonts w:eastAsia="Times New Roman"/>
                <w:b/>
                <w:bCs/>
                <w:color w:val="000000"/>
                <w:lang w:eastAsia="hr-HR"/>
              </w:rPr>
            </w:pPr>
            <w:r>
              <w:rPr>
                <w:rFonts w:eastAsia="Times New Roman"/>
                <w:b/>
                <w:bCs/>
                <w:color w:val="000000"/>
                <w:lang w:eastAsia="hr-HR"/>
              </w:rPr>
              <w:t>38.194.639,13</w:t>
            </w:r>
          </w:p>
        </w:tc>
      </w:tr>
      <w:tr w:rsidR="00D64DFF" w:rsidRPr="00775F67" w14:paraId="185EC84D" w14:textId="77777777" w:rsidTr="00775F67">
        <w:trPr>
          <w:tblCellSpacing w:w="15" w:type="dxa"/>
        </w:trPr>
        <w:tc>
          <w:tcPr>
            <w:tcW w:w="0" w:type="auto"/>
            <w:vAlign w:val="center"/>
          </w:tcPr>
          <w:p w14:paraId="778E5661" w14:textId="0E05375C" w:rsidR="00D64DFF" w:rsidRPr="00775F67" w:rsidRDefault="00D64DFF" w:rsidP="00775F67">
            <w:pPr>
              <w:spacing w:before="60" w:after="60"/>
              <w:ind w:firstLine="567"/>
              <w:rPr>
                <w:rFonts w:eastAsia="Times New Roman"/>
                <w:b/>
                <w:bCs/>
                <w:color w:val="000000"/>
                <w:lang w:eastAsia="hr-HR"/>
              </w:rPr>
            </w:pPr>
            <w:r>
              <w:rPr>
                <w:rFonts w:eastAsia="Times New Roman"/>
                <w:b/>
                <w:bCs/>
                <w:color w:val="000000"/>
                <w:lang w:eastAsia="hr-HR"/>
              </w:rPr>
              <w:t>Povrat od MPUGDI</w:t>
            </w:r>
          </w:p>
        </w:tc>
        <w:tc>
          <w:tcPr>
            <w:tcW w:w="2657" w:type="dxa"/>
            <w:vAlign w:val="center"/>
          </w:tcPr>
          <w:p w14:paraId="2A94C438" w14:textId="735F0C1D" w:rsidR="00D64DFF" w:rsidRPr="00775F67" w:rsidRDefault="00D64DFF" w:rsidP="006A020F">
            <w:pPr>
              <w:spacing w:before="60" w:after="60"/>
              <w:jc w:val="left"/>
              <w:rPr>
                <w:rFonts w:eastAsia="Times New Roman"/>
                <w:b/>
                <w:bCs/>
                <w:color w:val="000000"/>
                <w:lang w:eastAsia="hr-HR"/>
              </w:rPr>
            </w:pPr>
            <w:r>
              <w:rPr>
                <w:rFonts w:eastAsia="Times New Roman"/>
                <w:b/>
                <w:bCs/>
                <w:color w:val="000000"/>
                <w:lang w:eastAsia="hr-HR"/>
              </w:rPr>
              <w:t>1.253.107,10</w:t>
            </w:r>
          </w:p>
        </w:tc>
        <w:tc>
          <w:tcPr>
            <w:tcW w:w="3210" w:type="dxa"/>
            <w:vAlign w:val="center"/>
          </w:tcPr>
          <w:p w14:paraId="28387149" w14:textId="1CD9C5CE" w:rsidR="00D64DFF" w:rsidRPr="00775F67" w:rsidRDefault="00745A5E" w:rsidP="00745A5E">
            <w:pPr>
              <w:spacing w:before="60" w:after="60"/>
              <w:jc w:val="left"/>
              <w:rPr>
                <w:rFonts w:eastAsia="Times New Roman"/>
                <w:b/>
                <w:bCs/>
                <w:color w:val="000000"/>
                <w:lang w:eastAsia="hr-HR"/>
              </w:rPr>
            </w:pPr>
            <w:r>
              <w:rPr>
                <w:rFonts w:eastAsia="Times New Roman"/>
                <w:b/>
                <w:bCs/>
                <w:color w:val="000000"/>
                <w:lang w:eastAsia="hr-HR"/>
              </w:rPr>
              <w:t>1.253.107,10</w:t>
            </w:r>
          </w:p>
        </w:tc>
      </w:tr>
      <w:tr w:rsidR="00745A5E" w:rsidRPr="00775F67" w14:paraId="1FE76C04" w14:textId="77777777" w:rsidTr="00775F67">
        <w:trPr>
          <w:tblCellSpacing w:w="15" w:type="dxa"/>
        </w:trPr>
        <w:tc>
          <w:tcPr>
            <w:tcW w:w="0" w:type="auto"/>
            <w:vAlign w:val="center"/>
          </w:tcPr>
          <w:p w14:paraId="665D513B" w14:textId="3EDE265D" w:rsidR="00745A5E" w:rsidRPr="00775F67" w:rsidRDefault="00745A5E" w:rsidP="00745A5E">
            <w:pPr>
              <w:spacing w:before="60" w:after="60"/>
              <w:ind w:firstLine="567"/>
              <w:rPr>
                <w:rFonts w:eastAsia="Times New Roman"/>
                <w:b/>
                <w:bCs/>
                <w:color w:val="000000"/>
                <w:lang w:eastAsia="hr-HR"/>
              </w:rPr>
            </w:pPr>
            <w:r w:rsidRPr="00775F67">
              <w:rPr>
                <w:rFonts w:eastAsia="Times New Roman"/>
                <w:b/>
                <w:bCs/>
                <w:color w:val="000000"/>
                <w:lang w:eastAsia="hr-HR"/>
              </w:rPr>
              <w:t>Preostale preuzete obveze na dan 31.12.2024.</w:t>
            </w:r>
          </w:p>
        </w:tc>
        <w:tc>
          <w:tcPr>
            <w:tcW w:w="2657" w:type="dxa"/>
            <w:vAlign w:val="center"/>
          </w:tcPr>
          <w:p w14:paraId="25022A7D" w14:textId="6B729B38" w:rsidR="00745A5E" w:rsidRDefault="00745A5E" w:rsidP="00745A5E">
            <w:pPr>
              <w:spacing w:before="60" w:after="60"/>
              <w:jc w:val="left"/>
              <w:rPr>
                <w:rFonts w:eastAsia="Times New Roman"/>
                <w:b/>
                <w:bCs/>
                <w:color w:val="000000"/>
                <w:lang w:eastAsia="hr-HR"/>
              </w:rPr>
            </w:pPr>
            <w:r>
              <w:rPr>
                <w:rFonts w:eastAsia="Times New Roman"/>
                <w:b/>
                <w:bCs/>
                <w:color w:val="000000"/>
                <w:lang w:eastAsia="hr-HR"/>
              </w:rPr>
              <w:t xml:space="preserve">        -</w:t>
            </w:r>
          </w:p>
        </w:tc>
        <w:tc>
          <w:tcPr>
            <w:tcW w:w="3210" w:type="dxa"/>
            <w:vAlign w:val="center"/>
          </w:tcPr>
          <w:p w14:paraId="5F24C005" w14:textId="26B9A097" w:rsidR="00745A5E" w:rsidRPr="00775F67" w:rsidRDefault="00745A5E" w:rsidP="00745A5E">
            <w:pPr>
              <w:spacing w:before="60" w:after="60"/>
              <w:jc w:val="left"/>
              <w:rPr>
                <w:rFonts w:eastAsia="Times New Roman"/>
                <w:b/>
                <w:bCs/>
                <w:color w:val="000000"/>
                <w:lang w:eastAsia="hr-HR"/>
              </w:rPr>
            </w:pPr>
            <w:r w:rsidRPr="00775F67">
              <w:rPr>
                <w:rFonts w:eastAsia="Times New Roman"/>
                <w:b/>
                <w:bCs/>
                <w:color w:val="000000"/>
                <w:lang w:eastAsia="hr-HR"/>
              </w:rPr>
              <w:t>23.970.962,31</w:t>
            </w:r>
          </w:p>
        </w:tc>
      </w:tr>
      <w:tr w:rsidR="00745A5E" w:rsidRPr="00775F67" w14:paraId="248EEBEE" w14:textId="77777777" w:rsidTr="00775F67">
        <w:trPr>
          <w:tblCellSpacing w:w="15" w:type="dxa"/>
        </w:trPr>
        <w:tc>
          <w:tcPr>
            <w:tcW w:w="0" w:type="auto"/>
            <w:vAlign w:val="center"/>
            <w:hideMark/>
          </w:tcPr>
          <w:p w14:paraId="1F09267F" w14:textId="2A000CB1" w:rsidR="00745A5E" w:rsidRPr="00775F67" w:rsidRDefault="00745A5E" w:rsidP="00745A5E">
            <w:pPr>
              <w:spacing w:before="60" w:after="60"/>
              <w:ind w:firstLine="567"/>
              <w:rPr>
                <w:rFonts w:eastAsia="Times New Roman"/>
                <w:b/>
                <w:bCs/>
                <w:color w:val="000000"/>
                <w:lang w:eastAsia="hr-HR"/>
              </w:rPr>
            </w:pPr>
            <w:r w:rsidRPr="00775F67">
              <w:rPr>
                <w:rFonts w:eastAsia="Times New Roman"/>
                <w:b/>
                <w:bCs/>
                <w:color w:val="000000"/>
                <w:lang w:eastAsia="hr-HR"/>
              </w:rPr>
              <w:t>Preneseno u Plan II</w:t>
            </w:r>
            <w:r>
              <w:rPr>
                <w:rFonts w:eastAsia="Times New Roman"/>
                <w:b/>
                <w:bCs/>
                <w:color w:val="000000"/>
                <w:lang w:eastAsia="hr-HR"/>
              </w:rPr>
              <w:t xml:space="preserve"> 2024.</w:t>
            </w:r>
          </w:p>
        </w:tc>
        <w:tc>
          <w:tcPr>
            <w:tcW w:w="2657" w:type="dxa"/>
            <w:vAlign w:val="center"/>
            <w:hideMark/>
          </w:tcPr>
          <w:p w14:paraId="3D16AAA8" w14:textId="46C4EB6A" w:rsidR="00745A5E" w:rsidRPr="00775F67" w:rsidRDefault="00745A5E" w:rsidP="00745A5E">
            <w:pPr>
              <w:spacing w:before="60" w:after="60"/>
              <w:jc w:val="left"/>
              <w:rPr>
                <w:rFonts w:eastAsia="Times New Roman"/>
                <w:b/>
                <w:bCs/>
                <w:color w:val="000000"/>
                <w:lang w:eastAsia="hr-HR"/>
              </w:rPr>
            </w:pPr>
            <w:r>
              <w:rPr>
                <w:rFonts w:eastAsia="Times New Roman"/>
                <w:b/>
                <w:bCs/>
                <w:color w:val="000000"/>
                <w:lang w:eastAsia="hr-HR"/>
              </w:rPr>
              <w:t xml:space="preserve">        -</w:t>
            </w:r>
          </w:p>
        </w:tc>
        <w:tc>
          <w:tcPr>
            <w:tcW w:w="3210" w:type="dxa"/>
            <w:vAlign w:val="center"/>
            <w:hideMark/>
          </w:tcPr>
          <w:p w14:paraId="299DC4AD" w14:textId="009F0AB9" w:rsidR="00745A5E" w:rsidRPr="00775F67" w:rsidRDefault="00745A5E" w:rsidP="00745A5E">
            <w:pPr>
              <w:spacing w:before="60" w:after="60"/>
              <w:jc w:val="left"/>
              <w:rPr>
                <w:rFonts w:eastAsia="Times New Roman"/>
                <w:b/>
                <w:bCs/>
                <w:color w:val="000000"/>
                <w:lang w:eastAsia="hr-HR"/>
              </w:rPr>
            </w:pPr>
            <w:r>
              <w:rPr>
                <w:rFonts w:eastAsia="Times New Roman"/>
                <w:b/>
                <w:bCs/>
                <w:color w:val="000000"/>
                <w:lang w:eastAsia="hr-HR"/>
              </w:rPr>
              <w:t>14.223.676,82</w:t>
            </w:r>
          </w:p>
        </w:tc>
      </w:tr>
    </w:tbl>
    <w:p w14:paraId="756DE592" w14:textId="77777777" w:rsidR="00F45F43" w:rsidRPr="005543E3" w:rsidRDefault="00F45F43" w:rsidP="005543E3">
      <w:pPr>
        <w:spacing w:before="60" w:after="60"/>
        <w:ind w:firstLine="567"/>
        <w:rPr>
          <w:lang w:eastAsia="hr-HR"/>
        </w:rPr>
      </w:pPr>
    </w:p>
    <w:p w14:paraId="23EF2D7D" w14:textId="63656B8A" w:rsidR="003449D1" w:rsidRPr="001B18FE" w:rsidRDefault="00844A47" w:rsidP="003376E7">
      <w:pPr>
        <w:spacing w:before="60" w:after="60"/>
        <w:ind w:firstLine="567"/>
        <w:rPr>
          <w:highlight w:val="yellow"/>
        </w:rPr>
      </w:pPr>
      <w:r w:rsidRPr="001B18FE">
        <w:rPr>
          <w:rFonts w:eastAsia="Times New Roman"/>
          <w:color w:val="000000"/>
          <w:lang w:eastAsia="hr-HR"/>
        </w:rPr>
        <w:t xml:space="preserve">Sredstva u iznosu od 1.253.107,10 </w:t>
      </w:r>
      <w:r w:rsidR="001B18FE">
        <w:rPr>
          <w:rFonts w:eastAsia="Times New Roman"/>
          <w:color w:val="000000"/>
          <w:lang w:eastAsia="hr-HR"/>
        </w:rPr>
        <w:t>EUR</w:t>
      </w:r>
      <w:r w:rsidRPr="001B18FE">
        <w:rPr>
          <w:rFonts w:eastAsia="Times New Roman"/>
          <w:color w:val="000000"/>
          <w:lang w:eastAsia="hr-HR"/>
        </w:rPr>
        <w:t xml:space="preserve"> odnose se na povrat neutrošenih sredstava sukladno članku 6. Sporazuma broj 2019/69175 o sufinanciranju realizacije 66 projekata energetske obnove javnih zgrada odobrenih u Pozivu na dostavu projektnih prijedloga „Energetska obnova i korištenje obnovljivih izvora energije u zgradama javnog sektora“ referentni broj KK.04.2.1.04 (KLASA: 018-10/18-02/1, URBROJ: 563-02-1/253-19-290) od 23. prosinca 2019. između Fonda i Ministarstva graditeljstva i prostornoga uređenja. Fond je dana 27. prosinca 2019. uplatio 1.561.876,73 </w:t>
      </w:r>
      <w:r w:rsidR="001B18FE">
        <w:rPr>
          <w:rFonts w:eastAsia="Times New Roman"/>
          <w:color w:val="000000"/>
          <w:lang w:eastAsia="hr-HR"/>
        </w:rPr>
        <w:t>EUR</w:t>
      </w:r>
      <w:r w:rsidRPr="001B18FE">
        <w:rPr>
          <w:rFonts w:eastAsia="Times New Roman"/>
          <w:color w:val="000000"/>
          <w:lang w:eastAsia="hr-HR"/>
        </w:rPr>
        <w:t xml:space="preserve"> u državni proračun te je Ministarstvo prostornoga uređenja, graditeljstva i državne imovine dana 27. kolovoza 2024. izvijestilo Fond da su svi projekti iz Sporazuma završeni i da se za njih više neće provoditi isplate, tj. da je za gore navedene projekte ukupno isplaćeno 308.769,63 </w:t>
      </w:r>
      <w:r w:rsidR="001B18FE">
        <w:rPr>
          <w:rFonts w:eastAsia="Times New Roman"/>
          <w:color w:val="000000"/>
          <w:lang w:eastAsia="hr-HR"/>
        </w:rPr>
        <w:t>EUR</w:t>
      </w:r>
      <w:r w:rsidRPr="001B18FE">
        <w:rPr>
          <w:rFonts w:eastAsia="Times New Roman"/>
          <w:color w:val="000000"/>
          <w:lang w:eastAsia="hr-HR"/>
        </w:rPr>
        <w:t xml:space="preserve">, a neutrošeno je ostalo </w:t>
      </w:r>
      <w:r w:rsidRPr="004C0926">
        <w:rPr>
          <w:rFonts w:eastAsia="Times New Roman"/>
          <w:b/>
          <w:bCs/>
          <w:color w:val="000000"/>
          <w:lang w:eastAsia="hr-HR"/>
        </w:rPr>
        <w:t xml:space="preserve">1.253.107,10 </w:t>
      </w:r>
      <w:r w:rsidR="001B18FE" w:rsidRPr="004C0926">
        <w:rPr>
          <w:rFonts w:eastAsia="Times New Roman"/>
          <w:b/>
          <w:bCs/>
          <w:color w:val="000000"/>
          <w:lang w:eastAsia="hr-HR"/>
        </w:rPr>
        <w:t>EUR</w:t>
      </w:r>
      <w:r w:rsidRPr="001B18FE">
        <w:rPr>
          <w:rFonts w:eastAsia="Times New Roman"/>
          <w:color w:val="000000"/>
          <w:lang w:eastAsia="hr-HR"/>
        </w:rPr>
        <w:t xml:space="preserve"> koji su vraćeni Fondu. Neutrošena sredstva se odnose na financijske uštede, nastale jer su korisnici prijavili manje prihvatljivih izdataka od maksimalno ugovorenih na koje su imali pravo. Isplate su se provodile za 23 od 66 projekata u razdoblju od 2019. do 2024. godine, a kod samo 2 projekta su isplaćena maksimalno ugovorena sredstva. MGIPU je u 2024. godini izvršio Fondu povrat sredstava za navedene projekte. Slijedom čega na dan 31.</w:t>
      </w:r>
      <w:r w:rsidR="003F5A4E">
        <w:rPr>
          <w:rFonts w:eastAsia="Times New Roman"/>
          <w:color w:val="000000"/>
          <w:lang w:eastAsia="hr-HR"/>
        </w:rPr>
        <w:t xml:space="preserve"> </w:t>
      </w:r>
      <w:r w:rsidRPr="001B18FE">
        <w:rPr>
          <w:rFonts w:eastAsia="Times New Roman"/>
          <w:color w:val="000000"/>
          <w:lang w:eastAsia="hr-HR"/>
        </w:rPr>
        <w:t>12.</w:t>
      </w:r>
      <w:r w:rsidR="003F5A4E">
        <w:rPr>
          <w:rFonts w:eastAsia="Times New Roman"/>
          <w:color w:val="000000"/>
          <w:lang w:eastAsia="hr-HR"/>
        </w:rPr>
        <w:t xml:space="preserve"> </w:t>
      </w:r>
      <w:r w:rsidRPr="001B18FE">
        <w:rPr>
          <w:rFonts w:eastAsia="Times New Roman"/>
          <w:color w:val="000000"/>
          <w:lang w:eastAsia="hr-HR"/>
        </w:rPr>
        <w:t xml:space="preserve">2024. godine neutrošena sredstva iz </w:t>
      </w:r>
      <w:r w:rsidR="00D64DFF">
        <w:rPr>
          <w:rFonts w:eastAsia="Times New Roman"/>
          <w:color w:val="000000"/>
          <w:lang w:eastAsia="hr-HR"/>
        </w:rPr>
        <w:t>Plana I</w:t>
      </w:r>
      <w:r w:rsidRPr="001B18FE">
        <w:rPr>
          <w:rFonts w:eastAsia="Times New Roman"/>
          <w:color w:val="000000"/>
          <w:lang w:eastAsia="hr-HR"/>
        </w:rPr>
        <w:t xml:space="preserve"> iznose 38.194.639,13 </w:t>
      </w:r>
      <w:r w:rsidR="001B18FE">
        <w:rPr>
          <w:rFonts w:eastAsia="Times New Roman"/>
          <w:color w:val="000000"/>
          <w:lang w:eastAsia="hr-HR"/>
        </w:rPr>
        <w:t>EUR</w:t>
      </w:r>
      <w:r w:rsidRPr="001B18FE">
        <w:rPr>
          <w:rFonts w:eastAsia="Times New Roman"/>
          <w:color w:val="000000"/>
          <w:lang w:eastAsia="hr-HR"/>
        </w:rPr>
        <w:t>, od čega su na dan 31.</w:t>
      </w:r>
      <w:r w:rsidR="003F5A4E">
        <w:rPr>
          <w:rFonts w:eastAsia="Times New Roman"/>
          <w:color w:val="000000"/>
          <w:lang w:eastAsia="hr-HR"/>
        </w:rPr>
        <w:t xml:space="preserve"> </w:t>
      </w:r>
      <w:r w:rsidRPr="001B18FE">
        <w:rPr>
          <w:rFonts w:eastAsia="Times New Roman"/>
          <w:color w:val="000000"/>
          <w:lang w:eastAsia="hr-HR"/>
        </w:rPr>
        <w:t>12.</w:t>
      </w:r>
      <w:r w:rsidR="003F5A4E">
        <w:rPr>
          <w:rFonts w:eastAsia="Times New Roman"/>
          <w:color w:val="000000"/>
          <w:lang w:eastAsia="hr-HR"/>
        </w:rPr>
        <w:t xml:space="preserve"> </w:t>
      </w:r>
      <w:r w:rsidRPr="001B18FE">
        <w:rPr>
          <w:rFonts w:eastAsia="Times New Roman"/>
          <w:color w:val="000000"/>
          <w:lang w:eastAsia="hr-HR"/>
        </w:rPr>
        <w:t xml:space="preserve">2024. godine preuzete obveze u iznosu 23.970.962,31 </w:t>
      </w:r>
      <w:r w:rsidR="001B18FE">
        <w:rPr>
          <w:rFonts w:eastAsia="Times New Roman"/>
          <w:color w:val="000000"/>
          <w:lang w:eastAsia="hr-HR"/>
        </w:rPr>
        <w:t>EUR</w:t>
      </w:r>
      <w:r w:rsidRPr="001B18FE">
        <w:rPr>
          <w:rFonts w:eastAsia="Times New Roman"/>
          <w:color w:val="000000"/>
          <w:lang w:eastAsia="hr-HR"/>
        </w:rPr>
        <w:t xml:space="preserve">. Iznos od </w:t>
      </w:r>
      <w:r w:rsidRPr="004C0926">
        <w:rPr>
          <w:rFonts w:eastAsia="Times New Roman"/>
          <w:b/>
          <w:bCs/>
          <w:color w:val="000000"/>
          <w:lang w:eastAsia="hr-HR"/>
        </w:rPr>
        <w:t xml:space="preserve">14.223.676,82 </w:t>
      </w:r>
      <w:r w:rsidR="001B18FE" w:rsidRPr="004C0926">
        <w:rPr>
          <w:rFonts w:eastAsia="Times New Roman"/>
          <w:b/>
          <w:bCs/>
          <w:color w:val="000000"/>
          <w:lang w:eastAsia="hr-HR"/>
        </w:rPr>
        <w:t>EUR</w:t>
      </w:r>
      <w:r w:rsidRPr="001B18FE">
        <w:rPr>
          <w:rFonts w:eastAsia="Times New Roman"/>
          <w:color w:val="000000"/>
          <w:lang w:eastAsia="hr-HR"/>
        </w:rPr>
        <w:t xml:space="preserve"> prenije</w:t>
      </w:r>
      <w:r w:rsidR="006A020F">
        <w:rPr>
          <w:rFonts w:eastAsia="Times New Roman"/>
          <w:color w:val="000000"/>
          <w:lang w:eastAsia="hr-HR"/>
        </w:rPr>
        <w:t>lo</w:t>
      </w:r>
      <w:r w:rsidRPr="001B18FE">
        <w:rPr>
          <w:rFonts w:eastAsia="Times New Roman"/>
          <w:color w:val="000000"/>
          <w:lang w:eastAsia="hr-HR"/>
        </w:rPr>
        <w:t xml:space="preserve"> se u Plan </w:t>
      </w:r>
      <w:r w:rsidR="006A020F">
        <w:rPr>
          <w:rFonts w:eastAsia="Times New Roman"/>
          <w:color w:val="000000"/>
          <w:lang w:eastAsia="hr-HR"/>
        </w:rPr>
        <w:t>II</w:t>
      </w:r>
      <w:r w:rsidRPr="001B18FE">
        <w:rPr>
          <w:rFonts w:eastAsia="Times New Roman"/>
          <w:color w:val="000000"/>
          <w:lang w:eastAsia="hr-HR"/>
        </w:rPr>
        <w:t>, a utroš</w:t>
      </w:r>
      <w:r w:rsidR="006A020F">
        <w:rPr>
          <w:rFonts w:eastAsia="Times New Roman"/>
          <w:color w:val="000000"/>
          <w:lang w:eastAsia="hr-HR"/>
        </w:rPr>
        <w:t>eno je</w:t>
      </w:r>
      <w:r w:rsidRPr="001B18FE">
        <w:rPr>
          <w:rFonts w:eastAsia="Times New Roman"/>
          <w:color w:val="000000"/>
          <w:lang w:eastAsia="hr-HR"/>
        </w:rPr>
        <w:t xml:space="preserve"> za subvencij</w:t>
      </w:r>
      <w:r w:rsidR="006A020F">
        <w:rPr>
          <w:rFonts w:eastAsia="Times New Roman"/>
          <w:color w:val="000000"/>
          <w:lang w:eastAsia="hr-HR"/>
        </w:rPr>
        <w:t>e</w:t>
      </w:r>
      <w:r w:rsidRPr="001B18FE">
        <w:rPr>
          <w:rFonts w:eastAsia="Times New Roman"/>
          <w:color w:val="000000"/>
          <w:lang w:eastAsia="hr-HR"/>
        </w:rPr>
        <w:t xml:space="preserve"> plina građanima </w:t>
      </w:r>
      <w:r w:rsidR="006A020F">
        <w:rPr>
          <w:rFonts w:eastAsia="Times New Roman"/>
          <w:color w:val="000000"/>
          <w:lang w:eastAsia="hr-HR"/>
        </w:rPr>
        <w:t>sukladno</w:t>
      </w:r>
      <w:r w:rsidRPr="001B18FE">
        <w:rPr>
          <w:rFonts w:eastAsia="Times New Roman"/>
          <w:color w:val="000000"/>
          <w:lang w:eastAsia="hr-HR"/>
        </w:rPr>
        <w:t xml:space="preserve"> </w:t>
      </w:r>
      <w:r w:rsidRPr="006A020F">
        <w:rPr>
          <w:rFonts w:eastAsia="Times New Roman"/>
          <w:i/>
          <w:iCs/>
          <w:color w:val="000000"/>
          <w:lang w:eastAsia="hr-HR"/>
        </w:rPr>
        <w:t>Odluci Vlade Republike Hrvatske</w:t>
      </w:r>
      <w:r w:rsidR="00DF23D5" w:rsidRPr="006A020F">
        <w:rPr>
          <w:rFonts w:eastAsia="Times New Roman"/>
          <w:i/>
          <w:iCs/>
          <w:color w:val="000000"/>
          <w:lang w:eastAsia="hr-HR"/>
        </w:rPr>
        <w:t xml:space="preserve"> o subvencioniranju dijela krajnje cijene opskrbe plinom za krajnje kupce kategorije kućanstvo</w:t>
      </w:r>
      <w:r w:rsidR="00DF23D5">
        <w:rPr>
          <w:rFonts w:eastAsia="Times New Roman"/>
          <w:color w:val="000000"/>
          <w:lang w:eastAsia="hr-HR"/>
        </w:rPr>
        <w:t xml:space="preserve"> („Narodne novine“, broj 32/2024)</w:t>
      </w:r>
      <w:r w:rsidRPr="001B18FE">
        <w:rPr>
          <w:rFonts w:eastAsia="Times New Roman"/>
          <w:color w:val="000000"/>
          <w:lang w:eastAsia="hr-HR"/>
        </w:rPr>
        <w:t>.</w:t>
      </w:r>
    </w:p>
    <w:p w14:paraId="76D843EE" w14:textId="77777777" w:rsidR="009B410D" w:rsidRPr="00CC300B" w:rsidRDefault="009B410D" w:rsidP="003376E7">
      <w:pPr>
        <w:spacing w:before="60" w:after="60"/>
        <w:ind w:firstLine="567"/>
        <w:rPr>
          <w:rFonts w:eastAsia="Times New Roman"/>
          <w:lang w:eastAsia="hr-HR"/>
        </w:rPr>
      </w:pPr>
    </w:p>
    <w:p w14:paraId="19C69077" w14:textId="29738DD3" w:rsidR="00B953D8" w:rsidRPr="00CC300B" w:rsidRDefault="00B953D8" w:rsidP="003376E7">
      <w:pPr>
        <w:spacing w:before="60" w:after="60"/>
        <w:ind w:firstLine="567"/>
        <w:rPr>
          <w:rFonts w:eastAsia="Times New Roman"/>
          <w:lang w:eastAsia="hr-HR"/>
        </w:rPr>
      </w:pPr>
      <w:r w:rsidRPr="00CC300B">
        <w:rPr>
          <w:rFonts w:eastAsia="Times New Roman"/>
          <w:lang w:eastAsia="hr-HR"/>
        </w:rPr>
        <w:t xml:space="preserve">U </w:t>
      </w:r>
      <w:r w:rsidRPr="00CC300B">
        <w:rPr>
          <w:b/>
          <w:i/>
        </w:rPr>
        <w:t>Prilogu 1.</w:t>
      </w:r>
      <w:r w:rsidR="00557FDB" w:rsidRPr="00CC300B">
        <w:t xml:space="preserve"> </w:t>
      </w:r>
      <w:r w:rsidRPr="00CC300B">
        <w:t>prikaz</w:t>
      </w:r>
      <w:r w:rsidR="007501AF">
        <w:t>an</w:t>
      </w:r>
      <w:r w:rsidR="00D64DFF">
        <w:t>e</w:t>
      </w:r>
      <w:r w:rsidR="007501AF">
        <w:t xml:space="preserve"> su</w:t>
      </w:r>
      <w:r w:rsidRPr="00CC300B">
        <w:t xml:space="preserve"> </w:t>
      </w:r>
      <w:r w:rsidR="00D64DFF">
        <w:t>planirana raspodjela sredstava</w:t>
      </w:r>
      <w:r w:rsidRPr="00CC300B">
        <w:t xml:space="preserve"> i ukupn</w:t>
      </w:r>
      <w:r w:rsidR="00D64DFF">
        <w:t>a</w:t>
      </w:r>
      <w:r w:rsidRPr="00CC300B">
        <w:t xml:space="preserve"> realizacij</w:t>
      </w:r>
      <w:r w:rsidR="00D64DFF">
        <w:t>a</w:t>
      </w:r>
      <w:r w:rsidRPr="00CC300B">
        <w:t xml:space="preserve"> sredstava po godinama sukladno Planu </w:t>
      </w:r>
      <w:r w:rsidR="009B410D" w:rsidRPr="00CC300B">
        <w:t>I</w:t>
      </w:r>
      <w:r w:rsidR="00D64DFF">
        <w:t>.</w:t>
      </w:r>
    </w:p>
    <w:p w14:paraId="22C6CA31" w14:textId="1C96FF56" w:rsidR="00163790" w:rsidRPr="005B0C27" w:rsidRDefault="00557FDB" w:rsidP="005B0C27">
      <w:pPr>
        <w:spacing w:before="60" w:after="60"/>
        <w:rPr>
          <w:rFonts w:eastAsia="Times New Roman"/>
          <w:b/>
          <w:lang w:eastAsia="hr-HR"/>
        </w:rPr>
        <w:sectPr w:rsidR="00163790" w:rsidRPr="005B0C27" w:rsidSect="002F5505">
          <w:pgSz w:w="11906" w:h="16838"/>
          <w:pgMar w:top="1417" w:right="1417" w:bottom="1417" w:left="1417" w:header="708" w:footer="708" w:gutter="0"/>
          <w:cols w:space="708"/>
          <w:docGrid w:linePitch="360"/>
        </w:sectPr>
      </w:pPr>
      <w:r w:rsidRPr="00CC300B">
        <w:rPr>
          <w:rFonts w:eastAsia="Times New Roman"/>
          <w:lang w:eastAsia="hr-HR"/>
        </w:rPr>
        <w:tab/>
        <w:t xml:space="preserve">U </w:t>
      </w:r>
      <w:r w:rsidRPr="00CC300B">
        <w:rPr>
          <w:rFonts w:eastAsia="Times New Roman"/>
          <w:b/>
          <w:i/>
          <w:lang w:eastAsia="hr-HR"/>
        </w:rPr>
        <w:t>Prilogu 2</w:t>
      </w:r>
      <w:r w:rsidR="003376E7" w:rsidRPr="00CC300B">
        <w:rPr>
          <w:rFonts w:eastAsia="Times New Roman"/>
          <w:b/>
          <w:i/>
          <w:lang w:eastAsia="hr-HR"/>
        </w:rPr>
        <w:t>.</w:t>
      </w:r>
      <w:r w:rsidR="003376E7" w:rsidRPr="00CC300B">
        <w:rPr>
          <w:rFonts w:eastAsia="Times New Roman"/>
          <w:b/>
          <w:lang w:eastAsia="hr-HR"/>
        </w:rPr>
        <w:t xml:space="preserve"> i </w:t>
      </w:r>
      <w:r w:rsidR="003376E7" w:rsidRPr="00CC300B">
        <w:rPr>
          <w:rFonts w:eastAsia="Times New Roman"/>
          <w:b/>
          <w:i/>
          <w:iCs/>
          <w:lang w:eastAsia="hr-HR"/>
        </w:rPr>
        <w:t>Prilogu 2.1.</w:t>
      </w:r>
      <w:r w:rsidRPr="00CC300B">
        <w:rPr>
          <w:rFonts w:eastAsia="Times New Roman"/>
          <w:lang w:eastAsia="hr-HR"/>
        </w:rPr>
        <w:t xml:space="preserve"> </w:t>
      </w:r>
      <w:r w:rsidR="007501AF">
        <w:rPr>
          <w:rFonts w:eastAsia="Times New Roman"/>
          <w:lang w:eastAsia="hr-HR"/>
        </w:rPr>
        <w:t>prikazan</w:t>
      </w:r>
      <w:r w:rsidR="00D64DFF">
        <w:rPr>
          <w:rFonts w:eastAsia="Times New Roman"/>
          <w:lang w:eastAsia="hr-HR"/>
        </w:rPr>
        <w:t>a je</w:t>
      </w:r>
      <w:r w:rsidR="003376E7" w:rsidRPr="00CC300B">
        <w:rPr>
          <w:rFonts w:eastAsia="Times New Roman"/>
          <w:lang w:eastAsia="hr-HR"/>
        </w:rPr>
        <w:t xml:space="preserve"> </w:t>
      </w:r>
      <w:r w:rsidRPr="00F86AA0">
        <w:rPr>
          <w:rFonts w:eastAsia="Times New Roman"/>
          <w:bCs/>
          <w:lang w:eastAsia="hr-HR"/>
        </w:rPr>
        <w:t>rekapitulacij</w:t>
      </w:r>
      <w:r w:rsidR="00F86AA0" w:rsidRPr="00F86AA0">
        <w:rPr>
          <w:rFonts w:eastAsia="Times New Roman"/>
          <w:bCs/>
          <w:lang w:eastAsia="hr-HR"/>
        </w:rPr>
        <w:t>a</w:t>
      </w:r>
      <w:r w:rsidRPr="00F86AA0">
        <w:rPr>
          <w:rFonts w:eastAsia="Times New Roman"/>
          <w:bCs/>
          <w:lang w:eastAsia="hr-HR"/>
        </w:rPr>
        <w:t xml:space="preserve"> Plana</w:t>
      </w:r>
      <w:r w:rsidR="009B410D" w:rsidRPr="00F86AA0">
        <w:rPr>
          <w:rFonts w:eastAsia="Times New Roman"/>
          <w:bCs/>
          <w:lang w:eastAsia="hr-HR"/>
        </w:rPr>
        <w:t xml:space="preserve"> I</w:t>
      </w:r>
      <w:r w:rsidR="007501AF" w:rsidRPr="00F86AA0">
        <w:rPr>
          <w:rFonts w:eastAsia="Times New Roman"/>
          <w:bCs/>
          <w:lang w:eastAsia="hr-HR"/>
        </w:rPr>
        <w:t>.</w:t>
      </w:r>
      <w:r w:rsidR="00F86AA0" w:rsidRPr="00F86AA0">
        <w:rPr>
          <w:rFonts w:eastAsia="Times New Roman"/>
          <w:bCs/>
          <w:lang w:eastAsia="hr-HR"/>
        </w:rPr>
        <w:t xml:space="preserve"> na dan 31. 12. 2024</w:t>
      </w:r>
      <w:r w:rsidR="005B0C27">
        <w:rPr>
          <w:rFonts w:eastAsia="Times New Roman"/>
          <w:bCs/>
          <w:lang w:eastAsia="hr-HR"/>
        </w:rPr>
        <w:t>.</w:t>
      </w:r>
    </w:p>
    <w:p w14:paraId="43B4E7C9" w14:textId="09FA6BE8" w:rsidR="00952BB6" w:rsidRPr="0017583B" w:rsidRDefault="006F4E0F" w:rsidP="0017583B">
      <w:pPr>
        <w:pStyle w:val="Naslov1"/>
        <w:ind w:left="1068"/>
      </w:pPr>
      <w:bookmarkStart w:id="29" w:name="_Toc226980233"/>
      <w:r w:rsidRPr="006F4E0F">
        <w:lastRenderedPageBreak/>
        <w:t>Plan korištenja financijskih sredstava dobivenih od prodaje emisijskih jedinica putem dražbi u Republici Hrvatskoj od 2021. do 2025. godine</w:t>
      </w:r>
      <w:r w:rsidR="005928BB" w:rsidRPr="0017583B">
        <w:t xml:space="preserve"> – Plan II</w:t>
      </w:r>
      <w:bookmarkEnd w:id="29"/>
    </w:p>
    <w:p w14:paraId="0E2CD82C" w14:textId="71EF9575" w:rsidR="00952BB6" w:rsidRPr="00EF723B" w:rsidRDefault="00077A5D" w:rsidP="00EF723B">
      <w:pPr>
        <w:pStyle w:val="Naslov2"/>
        <w:numPr>
          <w:ilvl w:val="0"/>
          <w:numId w:val="0"/>
        </w:numPr>
        <w:ind w:left="567"/>
        <w:rPr>
          <w:rFonts w:ascii="Times New Roman" w:hAnsi="Times New Roman" w:cs="Times New Roman"/>
          <w:sz w:val="24"/>
          <w:szCs w:val="24"/>
        </w:rPr>
      </w:pPr>
      <w:bookmarkStart w:id="30" w:name="_Toc156830339"/>
      <w:bookmarkStart w:id="31" w:name="_Toc226980234"/>
      <w:r>
        <w:rPr>
          <w:rFonts w:ascii="Times New Roman" w:hAnsi="Times New Roman" w:cs="Times New Roman"/>
          <w:sz w:val="24"/>
          <w:szCs w:val="24"/>
        </w:rPr>
        <w:t>4.</w:t>
      </w:r>
      <w:r w:rsidR="00EF723B">
        <w:rPr>
          <w:rFonts w:ascii="Times New Roman" w:hAnsi="Times New Roman" w:cs="Times New Roman"/>
          <w:sz w:val="24"/>
          <w:szCs w:val="24"/>
        </w:rPr>
        <w:t xml:space="preserve">1. </w:t>
      </w:r>
      <w:r w:rsidR="00EF723B" w:rsidRPr="00EF723B">
        <w:rPr>
          <w:rFonts w:ascii="Times New Roman" w:hAnsi="Times New Roman" w:cs="Times New Roman"/>
          <w:sz w:val="24"/>
          <w:szCs w:val="24"/>
        </w:rPr>
        <w:t xml:space="preserve"> </w:t>
      </w:r>
      <w:r w:rsidR="005928BB">
        <w:rPr>
          <w:rFonts w:ascii="Times New Roman" w:hAnsi="Times New Roman" w:cs="Times New Roman"/>
          <w:sz w:val="24"/>
          <w:szCs w:val="24"/>
        </w:rPr>
        <w:t>R</w:t>
      </w:r>
      <w:r w:rsidR="005928BB" w:rsidRPr="005928BB">
        <w:rPr>
          <w:rFonts w:ascii="Times New Roman" w:hAnsi="Times New Roman" w:cs="Times New Roman"/>
          <w:sz w:val="24"/>
          <w:szCs w:val="24"/>
        </w:rPr>
        <w:t xml:space="preserve">ashodi sredstava od dražbi u 2023. i 2024. godini sukladno </w:t>
      </w:r>
      <w:bookmarkEnd w:id="30"/>
      <w:r w:rsidR="005928BB">
        <w:rPr>
          <w:rFonts w:ascii="Times New Roman" w:hAnsi="Times New Roman" w:cs="Times New Roman"/>
          <w:sz w:val="24"/>
          <w:szCs w:val="24"/>
        </w:rPr>
        <w:t>Planu II</w:t>
      </w:r>
      <w:bookmarkEnd w:id="31"/>
    </w:p>
    <w:p w14:paraId="696DD4C4" w14:textId="77777777" w:rsidR="00952BB6" w:rsidRPr="00952BB6" w:rsidRDefault="00952BB6" w:rsidP="00952BB6">
      <w:pPr>
        <w:spacing w:before="60" w:after="60"/>
        <w:rPr>
          <w:highlight w:val="yellow"/>
        </w:rPr>
      </w:pPr>
    </w:p>
    <w:p w14:paraId="4AE4AF44" w14:textId="540F9E25" w:rsidR="00952BB6" w:rsidRPr="00604058" w:rsidRDefault="00A861B1" w:rsidP="00604058">
      <w:pPr>
        <w:spacing w:before="60" w:after="60"/>
        <w:ind w:firstLine="709"/>
        <w:rPr>
          <w:highlight w:val="yellow"/>
        </w:rPr>
      </w:pPr>
      <w:r w:rsidRPr="00604058">
        <w:t>Izmjenama i dopunama Plana II</w:t>
      </w:r>
      <w:r w:rsidR="007A07B0" w:rsidRPr="00604058">
        <w:t>.</w:t>
      </w:r>
      <w:r w:rsidRPr="00604058">
        <w:t xml:space="preserve"> </w:t>
      </w:r>
      <w:r w:rsidR="00DF23D5">
        <w:t>ažurirana</w:t>
      </w:r>
      <w:r w:rsidRPr="00604058">
        <w:t xml:space="preserve"> </w:t>
      </w:r>
      <w:r w:rsidR="00DF23D5">
        <w:t xml:space="preserve">je </w:t>
      </w:r>
      <w:r w:rsidRPr="00604058">
        <w:t xml:space="preserve">prosječna cijena emisijskih jedinica </w:t>
      </w:r>
      <w:r w:rsidR="00DF23D5">
        <w:t>na</w:t>
      </w:r>
      <w:r w:rsidRPr="00604058">
        <w:t xml:space="preserve"> primarn</w:t>
      </w:r>
      <w:r w:rsidR="00DF23D5">
        <w:t>im</w:t>
      </w:r>
      <w:r w:rsidRPr="00604058">
        <w:t xml:space="preserve"> dražb</w:t>
      </w:r>
      <w:r w:rsidR="00DF23D5">
        <w:t>ama</w:t>
      </w:r>
      <w:r w:rsidRPr="00604058">
        <w:t xml:space="preserve"> temeljem čega je proveden novi izračun očekivan</w:t>
      </w:r>
      <w:r w:rsidR="00DF23D5">
        <w:t>i</w:t>
      </w:r>
      <w:r w:rsidRPr="00604058">
        <w:t xml:space="preserve"> prihoda od prodaje emisijskih jedinica, na koji je dodan neutrošeni iznos od </w:t>
      </w:r>
      <w:r w:rsidRPr="00604058">
        <w:rPr>
          <w:b/>
          <w:bCs/>
        </w:rPr>
        <w:t>25.145.027,62 EUR</w:t>
      </w:r>
      <w:r w:rsidRPr="00604058">
        <w:t xml:space="preserve"> iz prethodnog razdoblja, </w:t>
      </w:r>
      <w:r w:rsidR="00DF23D5">
        <w:t>tako da</w:t>
      </w:r>
      <w:r w:rsidRPr="00604058">
        <w:t xml:space="preserve"> nov</w:t>
      </w:r>
      <w:r w:rsidR="00DF23D5">
        <w:t>a</w:t>
      </w:r>
      <w:r w:rsidRPr="00604058">
        <w:t xml:space="preserve"> ukupn</w:t>
      </w:r>
      <w:r w:rsidR="00DF23D5">
        <w:t xml:space="preserve">a vrijednost sredstava </w:t>
      </w:r>
      <w:r w:rsidRPr="00604058">
        <w:t>raspoloživ</w:t>
      </w:r>
      <w:r w:rsidR="00DF23D5">
        <w:t>ih</w:t>
      </w:r>
      <w:r w:rsidRPr="00604058">
        <w:t xml:space="preserve"> za financiranje u razdoblju od 2021. do 2025. godine iznos</w:t>
      </w:r>
      <w:r w:rsidR="00DF23D5">
        <w:t>i</w:t>
      </w:r>
      <w:r w:rsidRPr="00604058">
        <w:t xml:space="preserve"> </w:t>
      </w:r>
      <w:r w:rsidRPr="00604058">
        <w:rPr>
          <w:b/>
          <w:bCs/>
        </w:rPr>
        <w:t>620.463.136,37 EUR</w:t>
      </w:r>
      <w:r w:rsidRPr="00604058">
        <w:t>.</w:t>
      </w:r>
    </w:p>
    <w:p w14:paraId="42249BBE" w14:textId="1AC71AD8" w:rsidR="00952BB6" w:rsidRPr="00604058" w:rsidRDefault="00952BB6" w:rsidP="00604058">
      <w:pPr>
        <w:spacing w:before="60" w:after="60"/>
        <w:ind w:firstLine="709"/>
      </w:pPr>
      <w:r w:rsidRPr="00604058">
        <w:t xml:space="preserve">U </w:t>
      </w:r>
      <w:r w:rsidRPr="00604058">
        <w:rPr>
          <w:b/>
          <w:bCs/>
        </w:rPr>
        <w:t>Tablici 3.</w:t>
      </w:r>
      <w:r w:rsidRPr="00604058">
        <w:t xml:space="preserve"> prikazana je </w:t>
      </w:r>
      <w:r w:rsidR="00DF23D5">
        <w:t xml:space="preserve">planirana </w:t>
      </w:r>
      <w:r w:rsidR="00650FD1">
        <w:t>r</w:t>
      </w:r>
      <w:r w:rsidRPr="00604058">
        <w:t>aspodjela prihoda po prioritetnim mjerama, odnosno područjima (</w:t>
      </w:r>
      <w:proofErr w:type="spellStart"/>
      <w:r w:rsidRPr="00604058">
        <w:t>NuET</w:t>
      </w:r>
      <w:proofErr w:type="spellEnd"/>
      <w:r w:rsidRPr="00604058">
        <w:t xml:space="preserve">, NES, OT, PKP, IR) iz </w:t>
      </w:r>
      <w:bookmarkStart w:id="32" w:name="_Hlk133228165"/>
      <w:r w:rsidRPr="00604058">
        <w:rPr>
          <w:b/>
          <w:bCs/>
        </w:rPr>
        <w:t xml:space="preserve">Plana </w:t>
      </w:r>
      <w:bookmarkEnd w:id="32"/>
      <w:r w:rsidRPr="00604058">
        <w:rPr>
          <w:b/>
          <w:bCs/>
        </w:rPr>
        <w:t>II</w:t>
      </w:r>
      <w:r w:rsidR="00650FD1">
        <w:rPr>
          <w:b/>
          <w:bCs/>
        </w:rPr>
        <w:t>.</w:t>
      </w:r>
    </w:p>
    <w:p w14:paraId="37FEF0A3" w14:textId="77777777" w:rsidR="00952BB6" w:rsidRPr="00952BB6" w:rsidRDefault="00952BB6" w:rsidP="00952BB6">
      <w:pPr>
        <w:rPr>
          <w:highlight w:val="yellow"/>
        </w:rPr>
        <w:sectPr w:rsidR="00952BB6" w:rsidRPr="00952BB6" w:rsidSect="00952BB6">
          <w:headerReference w:type="default" r:id="rId14"/>
          <w:footerReference w:type="default" r:id="rId15"/>
          <w:pgSz w:w="11906" w:h="16838"/>
          <w:pgMar w:top="1417" w:right="1417" w:bottom="1417" w:left="1417" w:header="708" w:footer="708" w:gutter="0"/>
          <w:cols w:space="708"/>
          <w:docGrid w:linePitch="360"/>
        </w:sectPr>
      </w:pPr>
    </w:p>
    <w:p w14:paraId="4A626273" w14:textId="7BAD434E" w:rsidR="00952BB6" w:rsidRPr="00952BB6" w:rsidRDefault="00952BB6" w:rsidP="005B0C27">
      <w:pPr>
        <w:spacing w:after="0" w:line="240" w:lineRule="auto"/>
      </w:pPr>
      <w:bookmarkStart w:id="33" w:name="_Hlk101730777"/>
      <w:r w:rsidRPr="00952BB6">
        <w:rPr>
          <w:b/>
          <w:bCs/>
        </w:rPr>
        <w:lastRenderedPageBreak/>
        <w:t>Tablica 3.</w:t>
      </w:r>
      <w:r w:rsidRPr="00952BB6">
        <w:t xml:space="preserve"> </w:t>
      </w:r>
      <w:r w:rsidR="00DF23D5">
        <w:t>Planirana r</w:t>
      </w:r>
      <w:r w:rsidRPr="00952BB6">
        <w:t>aspodjela prihoda po prioritetnim mjerama iz Plana II</w:t>
      </w:r>
      <w:r w:rsidR="002600D7">
        <w:t>.</w:t>
      </w:r>
      <w:r w:rsidRPr="00952BB6">
        <w:t xml:space="preserve"> </w:t>
      </w:r>
    </w:p>
    <w:tbl>
      <w:tblPr>
        <w:tblW w:w="15158" w:type="dxa"/>
        <w:tblLook w:val="04A0" w:firstRow="1" w:lastRow="0" w:firstColumn="1" w:lastColumn="0" w:noHBand="0" w:noVBand="1"/>
      </w:tblPr>
      <w:tblGrid>
        <w:gridCol w:w="1066"/>
        <w:gridCol w:w="1715"/>
        <w:gridCol w:w="1680"/>
        <w:gridCol w:w="1262"/>
        <w:gridCol w:w="1357"/>
        <w:gridCol w:w="2710"/>
        <w:gridCol w:w="1809"/>
        <w:gridCol w:w="1116"/>
        <w:gridCol w:w="2443"/>
      </w:tblGrid>
      <w:tr w:rsidR="00B26B98" w:rsidRPr="00233455" w14:paraId="088666AB" w14:textId="77777777" w:rsidTr="00EC2687">
        <w:trPr>
          <w:trHeight w:val="1033"/>
        </w:trPr>
        <w:tc>
          <w:tcPr>
            <w:tcW w:w="1066" w:type="dxa"/>
            <w:tcBorders>
              <w:top w:val="single" w:sz="8" w:space="0" w:color="auto"/>
              <w:left w:val="single" w:sz="8" w:space="0" w:color="auto"/>
              <w:bottom w:val="nil"/>
              <w:right w:val="single" w:sz="8" w:space="0" w:color="auto"/>
            </w:tcBorders>
            <w:shd w:val="clear" w:color="000000" w:fill="D9D9D9"/>
            <w:vAlign w:val="center"/>
            <w:hideMark/>
          </w:tcPr>
          <w:p w14:paraId="11CDBB52" w14:textId="77777777"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Oznaka mjere</w:t>
            </w:r>
          </w:p>
        </w:tc>
        <w:tc>
          <w:tcPr>
            <w:tcW w:w="1715" w:type="dxa"/>
            <w:tcBorders>
              <w:top w:val="single" w:sz="8" w:space="0" w:color="auto"/>
              <w:left w:val="nil"/>
              <w:bottom w:val="nil"/>
              <w:right w:val="single" w:sz="8" w:space="0" w:color="auto"/>
            </w:tcBorders>
            <w:shd w:val="clear" w:color="000000" w:fill="D9D9D9"/>
            <w:vAlign w:val="center"/>
            <w:hideMark/>
          </w:tcPr>
          <w:p w14:paraId="1C97FC27" w14:textId="77777777"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PODRUČJE</w:t>
            </w:r>
          </w:p>
        </w:tc>
        <w:tc>
          <w:tcPr>
            <w:tcW w:w="1680" w:type="dxa"/>
            <w:tcBorders>
              <w:top w:val="single" w:sz="8" w:space="0" w:color="auto"/>
              <w:left w:val="nil"/>
              <w:bottom w:val="nil"/>
              <w:right w:val="single" w:sz="8" w:space="0" w:color="auto"/>
            </w:tcBorders>
            <w:shd w:val="clear" w:color="000000" w:fill="D9D9D9"/>
            <w:vAlign w:val="center"/>
            <w:hideMark/>
          </w:tcPr>
          <w:p w14:paraId="0DB122F6" w14:textId="665EB1B4" w:rsidR="00B26B98" w:rsidRDefault="00B26B98" w:rsidP="00281314">
            <w:pPr>
              <w:spacing w:after="0" w:line="240" w:lineRule="auto"/>
              <w:jc w:val="center"/>
              <w:rPr>
                <w:rFonts w:eastAsia="Times New Roman"/>
                <w:b/>
                <w:bCs/>
                <w:color w:val="000000"/>
                <w:sz w:val="20"/>
                <w:szCs w:val="20"/>
                <w:lang w:eastAsia="hr-HR"/>
              </w:rPr>
            </w:pPr>
            <w:r>
              <w:rPr>
                <w:rFonts w:eastAsia="Times New Roman"/>
                <w:b/>
                <w:bCs/>
                <w:color w:val="000000"/>
                <w:sz w:val="20"/>
                <w:szCs w:val="20"/>
                <w:lang w:eastAsia="hr-HR"/>
              </w:rPr>
              <w:t xml:space="preserve">PLAN </w:t>
            </w:r>
            <w:r w:rsidR="005B0C27">
              <w:rPr>
                <w:rFonts w:eastAsia="Times New Roman"/>
                <w:b/>
                <w:bCs/>
                <w:color w:val="000000"/>
                <w:sz w:val="20"/>
                <w:szCs w:val="20"/>
                <w:lang w:eastAsia="hr-HR"/>
              </w:rPr>
              <w:t>II</w:t>
            </w:r>
            <w:r w:rsidR="003A0CC1">
              <w:rPr>
                <w:rFonts w:eastAsia="Times New Roman"/>
                <w:b/>
                <w:bCs/>
                <w:color w:val="000000"/>
                <w:sz w:val="20"/>
                <w:szCs w:val="20"/>
                <w:lang w:eastAsia="hr-HR"/>
              </w:rPr>
              <w:t>*</w:t>
            </w:r>
          </w:p>
          <w:p w14:paraId="5F96F315" w14:textId="77777777"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 xml:space="preserve">Ukupno kumulativno financiranje do 2025. godine </w:t>
            </w:r>
          </w:p>
        </w:tc>
        <w:tc>
          <w:tcPr>
            <w:tcW w:w="1262" w:type="dxa"/>
            <w:tcBorders>
              <w:top w:val="single" w:sz="8" w:space="0" w:color="auto"/>
              <w:left w:val="nil"/>
              <w:bottom w:val="nil"/>
              <w:right w:val="single" w:sz="8" w:space="0" w:color="auto"/>
            </w:tcBorders>
            <w:shd w:val="clear" w:color="000000" w:fill="D9D9D9"/>
            <w:vAlign w:val="center"/>
            <w:hideMark/>
          </w:tcPr>
          <w:p w14:paraId="3CF863EA" w14:textId="77777777"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 xml:space="preserve">Postotna raspodjela </w:t>
            </w:r>
          </w:p>
        </w:tc>
        <w:tc>
          <w:tcPr>
            <w:tcW w:w="4067"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201DE871" w14:textId="77777777"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MJERE</w:t>
            </w:r>
          </w:p>
        </w:tc>
        <w:tc>
          <w:tcPr>
            <w:tcW w:w="1809" w:type="dxa"/>
            <w:tcBorders>
              <w:top w:val="single" w:sz="8" w:space="0" w:color="auto"/>
              <w:left w:val="nil"/>
              <w:bottom w:val="nil"/>
              <w:right w:val="single" w:sz="8" w:space="0" w:color="auto"/>
            </w:tcBorders>
            <w:shd w:val="clear" w:color="000000" w:fill="D9D9D9"/>
            <w:vAlign w:val="center"/>
            <w:hideMark/>
          </w:tcPr>
          <w:p w14:paraId="366B0820" w14:textId="3FDF3789" w:rsidR="00B26B98" w:rsidRDefault="00B26B98" w:rsidP="00281314">
            <w:pPr>
              <w:spacing w:after="0" w:line="240" w:lineRule="auto"/>
              <w:jc w:val="center"/>
              <w:rPr>
                <w:rFonts w:eastAsia="Times New Roman"/>
                <w:b/>
                <w:bCs/>
                <w:color w:val="000000"/>
                <w:sz w:val="20"/>
                <w:szCs w:val="20"/>
                <w:lang w:eastAsia="hr-HR"/>
              </w:rPr>
            </w:pPr>
            <w:r>
              <w:rPr>
                <w:rFonts w:eastAsia="Times New Roman"/>
                <w:b/>
                <w:bCs/>
                <w:color w:val="000000"/>
                <w:sz w:val="20"/>
                <w:szCs w:val="20"/>
                <w:lang w:eastAsia="hr-HR"/>
              </w:rPr>
              <w:t xml:space="preserve">IZMJENE PLANA </w:t>
            </w:r>
            <w:r w:rsidR="005B0C27">
              <w:rPr>
                <w:rFonts w:eastAsia="Times New Roman"/>
                <w:b/>
                <w:bCs/>
                <w:color w:val="000000"/>
                <w:sz w:val="20"/>
                <w:szCs w:val="20"/>
                <w:lang w:eastAsia="hr-HR"/>
              </w:rPr>
              <w:t>II</w:t>
            </w:r>
            <w:r w:rsidR="003A0CC1">
              <w:rPr>
                <w:rFonts w:eastAsia="Times New Roman"/>
                <w:b/>
                <w:bCs/>
                <w:color w:val="000000"/>
                <w:sz w:val="20"/>
                <w:szCs w:val="20"/>
                <w:lang w:eastAsia="hr-HR"/>
              </w:rPr>
              <w:t>**</w:t>
            </w:r>
          </w:p>
          <w:p w14:paraId="43237BA2" w14:textId="77777777"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Ukupno kumulativno financiranje do 2025. godine</w:t>
            </w:r>
          </w:p>
        </w:tc>
        <w:tc>
          <w:tcPr>
            <w:tcW w:w="1116" w:type="dxa"/>
            <w:tcBorders>
              <w:top w:val="single" w:sz="8" w:space="0" w:color="auto"/>
              <w:left w:val="nil"/>
              <w:bottom w:val="nil"/>
              <w:right w:val="single" w:sz="8" w:space="0" w:color="auto"/>
            </w:tcBorders>
            <w:shd w:val="clear" w:color="000000" w:fill="D9D9D9"/>
            <w:vAlign w:val="center"/>
            <w:hideMark/>
          </w:tcPr>
          <w:p w14:paraId="434ABEAF" w14:textId="77777777"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 xml:space="preserve">Postotna raspodjela </w:t>
            </w:r>
          </w:p>
        </w:tc>
        <w:tc>
          <w:tcPr>
            <w:tcW w:w="2443" w:type="dxa"/>
            <w:tcBorders>
              <w:top w:val="single" w:sz="8" w:space="0" w:color="auto"/>
              <w:left w:val="nil"/>
              <w:bottom w:val="nil"/>
              <w:right w:val="single" w:sz="8" w:space="0" w:color="auto"/>
            </w:tcBorders>
            <w:shd w:val="clear" w:color="000000" w:fill="D9D9D9"/>
            <w:vAlign w:val="center"/>
            <w:hideMark/>
          </w:tcPr>
          <w:p w14:paraId="25820855" w14:textId="77777777"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Ukupno kumulativno financiranje do 2025. godine</w:t>
            </w:r>
          </w:p>
        </w:tc>
      </w:tr>
      <w:tr w:rsidR="00B26B98" w:rsidRPr="002A2FBB" w14:paraId="24D83E2A" w14:textId="77777777" w:rsidTr="00EC2687">
        <w:trPr>
          <w:trHeight w:val="262"/>
        </w:trPr>
        <w:tc>
          <w:tcPr>
            <w:tcW w:w="1066" w:type="dxa"/>
            <w:tcBorders>
              <w:top w:val="nil"/>
              <w:left w:val="single" w:sz="8" w:space="0" w:color="auto"/>
              <w:bottom w:val="single" w:sz="8" w:space="0" w:color="000000"/>
              <w:right w:val="single" w:sz="8" w:space="0" w:color="auto"/>
            </w:tcBorders>
            <w:shd w:val="clear" w:color="000000" w:fill="D9D9D9"/>
            <w:vAlign w:val="center"/>
            <w:hideMark/>
          </w:tcPr>
          <w:p w14:paraId="271D7408" w14:textId="77777777" w:rsidR="00B26B98" w:rsidRPr="002A2FBB" w:rsidRDefault="00B26B98" w:rsidP="00281314">
            <w:pPr>
              <w:spacing w:after="0" w:line="240" w:lineRule="auto"/>
              <w:jc w:val="center"/>
              <w:rPr>
                <w:rFonts w:eastAsia="Times New Roman"/>
                <w:b/>
                <w:bCs/>
                <w:color w:val="000000"/>
                <w:lang w:eastAsia="hr-HR"/>
              </w:rPr>
            </w:pPr>
            <w:r w:rsidRPr="002A2FBB">
              <w:rPr>
                <w:rFonts w:eastAsia="Times New Roman"/>
                <w:b/>
                <w:bCs/>
                <w:color w:val="000000"/>
                <w:lang w:eastAsia="hr-HR"/>
              </w:rPr>
              <w:t> </w:t>
            </w:r>
          </w:p>
        </w:tc>
        <w:tc>
          <w:tcPr>
            <w:tcW w:w="1715" w:type="dxa"/>
            <w:tcBorders>
              <w:top w:val="nil"/>
              <w:left w:val="nil"/>
              <w:bottom w:val="single" w:sz="8" w:space="0" w:color="000000"/>
              <w:right w:val="single" w:sz="8" w:space="0" w:color="auto"/>
            </w:tcBorders>
            <w:shd w:val="clear" w:color="000000" w:fill="D9D9D9"/>
            <w:vAlign w:val="center"/>
            <w:hideMark/>
          </w:tcPr>
          <w:p w14:paraId="2FF91C71" w14:textId="77777777" w:rsidR="00B26B98" w:rsidRPr="002A2FBB" w:rsidRDefault="00B26B98" w:rsidP="00281314">
            <w:pPr>
              <w:spacing w:after="0" w:line="240" w:lineRule="auto"/>
              <w:jc w:val="center"/>
              <w:rPr>
                <w:rFonts w:eastAsia="Times New Roman"/>
                <w:b/>
                <w:bCs/>
                <w:color w:val="000000"/>
                <w:lang w:eastAsia="hr-HR"/>
              </w:rPr>
            </w:pPr>
            <w:r w:rsidRPr="002A2FBB">
              <w:rPr>
                <w:rFonts w:eastAsia="Times New Roman"/>
                <w:b/>
                <w:bCs/>
                <w:color w:val="000000"/>
                <w:lang w:eastAsia="hr-HR"/>
              </w:rPr>
              <w:t> </w:t>
            </w:r>
          </w:p>
        </w:tc>
        <w:tc>
          <w:tcPr>
            <w:tcW w:w="1680" w:type="dxa"/>
            <w:tcBorders>
              <w:top w:val="nil"/>
              <w:left w:val="nil"/>
              <w:bottom w:val="single" w:sz="8" w:space="0" w:color="000000"/>
              <w:right w:val="single" w:sz="8" w:space="0" w:color="auto"/>
            </w:tcBorders>
            <w:shd w:val="clear" w:color="000000" w:fill="D9D9D9"/>
            <w:vAlign w:val="center"/>
            <w:hideMark/>
          </w:tcPr>
          <w:p w14:paraId="02C4E41C" w14:textId="77777777" w:rsidR="00B26B98" w:rsidRPr="002A2FBB" w:rsidRDefault="00B26B98" w:rsidP="00281314">
            <w:pPr>
              <w:spacing w:after="0" w:line="240" w:lineRule="auto"/>
              <w:jc w:val="center"/>
              <w:rPr>
                <w:rFonts w:eastAsia="Times New Roman"/>
                <w:b/>
                <w:bCs/>
                <w:color w:val="000000"/>
                <w:lang w:eastAsia="hr-HR"/>
              </w:rPr>
            </w:pPr>
            <w:r w:rsidRPr="002A2FBB">
              <w:rPr>
                <w:b/>
                <w:bCs/>
                <w:color w:val="000000"/>
              </w:rPr>
              <w:t>[EUR]</w:t>
            </w:r>
          </w:p>
        </w:tc>
        <w:tc>
          <w:tcPr>
            <w:tcW w:w="1262" w:type="dxa"/>
            <w:tcBorders>
              <w:top w:val="nil"/>
              <w:left w:val="nil"/>
              <w:bottom w:val="single" w:sz="8" w:space="0" w:color="000000"/>
              <w:right w:val="single" w:sz="8" w:space="0" w:color="auto"/>
            </w:tcBorders>
            <w:shd w:val="clear" w:color="000000" w:fill="D9D9D9"/>
            <w:vAlign w:val="center"/>
            <w:hideMark/>
          </w:tcPr>
          <w:p w14:paraId="566FBD78" w14:textId="77777777" w:rsidR="00B26B98" w:rsidRPr="002A2FBB" w:rsidRDefault="00B26B98" w:rsidP="00281314">
            <w:pPr>
              <w:spacing w:after="0" w:line="240" w:lineRule="auto"/>
              <w:jc w:val="center"/>
              <w:rPr>
                <w:rFonts w:eastAsia="Times New Roman"/>
                <w:b/>
                <w:bCs/>
                <w:color w:val="000000"/>
                <w:lang w:eastAsia="hr-HR"/>
              </w:rPr>
            </w:pPr>
            <w:r w:rsidRPr="002A2FBB">
              <w:rPr>
                <w:rFonts w:eastAsia="Times New Roman"/>
                <w:b/>
                <w:bCs/>
                <w:color w:val="000000"/>
                <w:lang w:eastAsia="hr-HR"/>
              </w:rPr>
              <w:t>[%]</w:t>
            </w:r>
          </w:p>
        </w:tc>
        <w:tc>
          <w:tcPr>
            <w:tcW w:w="4067" w:type="dxa"/>
            <w:gridSpan w:val="2"/>
            <w:vMerge/>
            <w:tcBorders>
              <w:top w:val="nil"/>
              <w:left w:val="nil"/>
              <w:bottom w:val="single" w:sz="8" w:space="0" w:color="000000"/>
              <w:right w:val="single" w:sz="8" w:space="0" w:color="auto"/>
            </w:tcBorders>
            <w:vAlign w:val="center"/>
            <w:hideMark/>
          </w:tcPr>
          <w:p w14:paraId="17C48063" w14:textId="77777777" w:rsidR="00B26B98" w:rsidRPr="002A2FBB" w:rsidRDefault="00B26B98" w:rsidP="00281314">
            <w:pPr>
              <w:spacing w:after="0" w:line="240" w:lineRule="auto"/>
              <w:jc w:val="left"/>
              <w:rPr>
                <w:rFonts w:eastAsia="Times New Roman"/>
                <w:b/>
                <w:bCs/>
                <w:color w:val="000000"/>
                <w:lang w:eastAsia="hr-HR"/>
              </w:rPr>
            </w:pPr>
          </w:p>
        </w:tc>
        <w:tc>
          <w:tcPr>
            <w:tcW w:w="1809" w:type="dxa"/>
            <w:tcBorders>
              <w:top w:val="nil"/>
              <w:left w:val="nil"/>
              <w:bottom w:val="single" w:sz="8" w:space="0" w:color="000000"/>
              <w:right w:val="single" w:sz="8" w:space="0" w:color="auto"/>
            </w:tcBorders>
            <w:shd w:val="clear" w:color="000000" w:fill="D9D9D9"/>
            <w:vAlign w:val="center"/>
            <w:hideMark/>
          </w:tcPr>
          <w:p w14:paraId="687E0DA2" w14:textId="77777777" w:rsidR="00B26B98" w:rsidRPr="002A2FBB" w:rsidRDefault="00B26B98" w:rsidP="00281314">
            <w:pPr>
              <w:spacing w:after="0" w:line="240" w:lineRule="auto"/>
              <w:jc w:val="center"/>
              <w:rPr>
                <w:rFonts w:eastAsia="Times New Roman"/>
                <w:b/>
                <w:bCs/>
                <w:color w:val="000000"/>
                <w:lang w:eastAsia="hr-HR"/>
              </w:rPr>
            </w:pPr>
            <w:r w:rsidRPr="002A2FBB">
              <w:rPr>
                <w:b/>
                <w:bCs/>
                <w:color w:val="000000"/>
              </w:rPr>
              <w:t>[EUR]</w:t>
            </w:r>
          </w:p>
        </w:tc>
        <w:tc>
          <w:tcPr>
            <w:tcW w:w="1116" w:type="dxa"/>
            <w:tcBorders>
              <w:top w:val="nil"/>
              <w:left w:val="nil"/>
              <w:bottom w:val="single" w:sz="8" w:space="0" w:color="000000"/>
              <w:right w:val="single" w:sz="8" w:space="0" w:color="auto"/>
            </w:tcBorders>
            <w:shd w:val="clear" w:color="000000" w:fill="D9D9D9"/>
            <w:vAlign w:val="center"/>
            <w:hideMark/>
          </w:tcPr>
          <w:p w14:paraId="46DDFE7B" w14:textId="77777777" w:rsidR="00B26B98" w:rsidRPr="002A2FBB" w:rsidRDefault="00B26B98" w:rsidP="00281314">
            <w:pPr>
              <w:spacing w:after="0" w:line="240" w:lineRule="auto"/>
              <w:jc w:val="center"/>
              <w:rPr>
                <w:rFonts w:eastAsia="Times New Roman"/>
                <w:b/>
                <w:bCs/>
                <w:color w:val="000000"/>
                <w:lang w:eastAsia="hr-HR"/>
              </w:rPr>
            </w:pPr>
            <w:r w:rsidRPr="002A2FBB">
              <w:rPr>
                <w:rFonts w:eastAsia="Times New Roman"/>
                <w:b/>
                <w:bCs/>
                <w:color w:val="000000"/>
                <w:lang w:eastAsia="hr-HR"/>
              </w:rPr>
              <w:t>[%]</w:t>
            </w:r>
          </w:p>
        </w:tc>
        <w:tc>
          <w:tcPr>
            <w:tcW w:w="2443" w:type="dxa"/>
            <w:tcBorders>
              <w:top w:val="nil"/>
              <w:left w:val="nil"/>
              <w:bottom w:val="single" w:sz="8" w:space="0" w:color="000000"/>
              <w:right w:val="single" w:sz="8" w:space="0" w:color="auto"/>
            </w:tcBorders>
            <w:shd w:val="clear" w:color="000000" w:fill="D9D9D9"/>
            <w:vAlign w:val="center"/>
            <w:hideMark/>
          </w:tcPr>
          <w:p w14:paraId="4D788D79" w14:textId="77777777" w:rsidR="00B26B98" w:rsidRPr="002A2FBB" w:rsidRDefault="00B26B98" w:rsidP="00281314">
            <w:pPr>
              <w:spacing w:after="0" w:line="240" w:lineRule="auto"/>
              <w:jc w:val="center"/>
              <w:rPr>
                <w:rFonts w:eastAsia="Times New Roman"/>
                <w:b/>
                <w:bCs/>
                <w:color w:val="000000"/>
                <w:lang w:eastAsia="hr-HR"/>
              </w:rPr>
            </w:pPr>
            <w:r w:rsidRPr="002A2FBB">
              <w:rPr>
                <w:b/>
                <w:bCs/>
                <w:color w:val="000000"/>
              </w:rPr>
              <w:t>[EUR]</w:t>
            </w:r>
          </w:p>
        </w:tc>
      </w:tr>
      <w:tr w:rsidR="005B0C27" w:rsidRPr="00233455" w14:paraId="04A10C5B" w14:textId="77777777" w:rsidTr="005B0C27">
        <w:trPr>
          <w:trHeight w:val="298"/>
        </w:trPr>
        <w:tc>
          <w:tcPr>
            <w:tcW w:w="1066" w:type="dxa"/>
            <w:vMerge w:val="restart"/>
            <w:tcBorders>
              <w:top w:val="nil"/>
              <w:left w:val="single" w:sz="8" w:space="0" w:color="auto"/>
              <w:bottom w:val="single" w:sz="8" w:space="0" w:color="auto"/>
              <w:right w:val="single" w:sz="8" w:space="0" w:color="auto"/>
            </w:tcBorders>
            <w:shd w:val="clear" w:color="000000" w:fill="F2F2F2"/>
            <w:vAlign w:val="center"/>
            <w:hideMark/>
          </w:tcPr>
          <w:p w14:paraId="16D5979E" w14:textId="77777777" w:rsidR="00B26B98" w:rsidRPr="00233455" w:rsidRDefault="00B26B98" w:rsidP="00281314">
            <w:pPr>
              <w:spacing w:after="0" w:line="240" w:lineRule="auto"/>
              <w:jc w:val="center"/>
              <w:rPr>
                <w:rFonts w:eastAsia="Times New Roman"/>
                <w:b/>
                <w:bCs/>
                <w:color w:val="000000"/>
                <w:sz w:val="20"/>
                <w:szCs w:val="20"/>
                <w:lang w:eastAsia="hr-HR"/>
              </w:rPr>
            </w:pPr>
            <w:proofErr w:type="spellStart"/>
            <w:r w:rsidRPr="00233455">
              <w:rPr>
                <w:rFonts w:eastAsia="Times New Roman"/>
                <w:b/>
                <w:bCs/>
                <w:color w:val="000000"/>
                <w:sz w:val="20"/>
                <w:szCs w:val="20"/>
                <w:lang w:eastAsia="hr-HR"/>
              </w:rPr>
              <w:t>NuET</w:t>
            </w:r>
            <w:proofErr w:type="spellEnd"/>
          </w:p>
        </w:tc>
        <w:tc>
          <w:tcPr>
            <w:tcW w:w="1715" w:type="dxa"/>
            <w:vMerge w:val="restart"/>
            <w:tcBorders>
              <w:top w:val="nil"/>
              <w:left w:val="single" w:sz="8" w:space="0" w:color="auto"/>
              <w:bottom w:val="single" w:sz="8" w:space="0" w:color="auto"/>
              <w:right w:val="single" w:sz="8" w:space="0" w:color="auto"/>
            </w:tcBorders>
            <w:shd w:val="clear" w:color="000000" w:fill="F2F2F2"/>
            <w:vAlign w:val="center"/>
            <w:hideMark/>
          </w:tcPr>
          <w:p w14:paraId="1B265162" w14:textId="77777777" w:rsidR="00B26B98" w:rsidRPr="00233455" w:rsidRDefault="00B26B98" w:rsidP="00281314">
            <w:pPr>
              <w:spacing w:after="0" w:line="240" w:lineRule="auto"/>
              <w:jc w:val="left"/>
              <w:rPr>
                <w:rFonts w:eastAsia="Times New Roman"/>
                <w:b/>
                <w:bCs/>
                <w:color w:val="000000"/>
                <w:sz w:val="20"/>
                <w:szCs w:val="20"/>
                <w:lang w:eastAsia="hr-HR"/>
              </w:rPr>
            </w:pPr>
            <w:proofErr w:type="spellStart"/>
            <w:r w:rsidRPr="00233455">
              <w:rPr>
                <w:rFonts w:eastAsia="Times New Roman"/>
                <w:b/>
                <w:bCs/>
                <w:color w:val="000000"/>
                <w:sz w:val="20"/>
                <w:szCs w:val="20"/>
                <w:lang w:eastAsia="hr-HR"/>
              </w:rPr>
              <w:t>Niskougljična</w:t>
            </w:r>
            <w:proofErr w:type="spellEnd"/>
            <w:r w:rsidRPr="00233455">
              <w:rPr>
                <w:rFonts w:eastAsia="Times New Roman"/>
                <w:b/>
                <w:bCs/>
                <w:color w:val="000000"/>
                <w:sz w:val="20"/>
                <w:szCs w:val="20"/>
                <w:lang w:eastAsia="hr-HR"/>
              </w:rPr>
              <w:t xml:space="preserve"> energetska tranzicija</w:t>
            </w:r>
          </w:p>
        </w:tc>
        <w:tc>
          <w:tcPr>
            <w:tcW w:w="1680" w:type="dxa"/>
            <w:vMerge w:val="restart"/>
            <w:tcBorders>
              <w:top w:val="nil"/>
              <w:left w:val="single" w:sz="8" w:space="0" w:color="auto"/>
              <w:bottom w:val="single" w:sz="8" w:space="0" w:color="auto"/>
              <w:right w:val="single" w:sz="8" w:space="0" w:color="auto"/>
            </w:tcBorders>
            <w:shd w:val="clear" w:color="000000" w:fill="F2F2F2"/>
            <w:vAlign w:val="center"/>
            <w:hideMark/>
          </w:tcPr>
          <w:p w14:paraId="280CCCEF" w14:textId="77777777" w:rsidR="00B26B98" w:rsidRPr="001D6A5E" w:rsidRDefault="00B26B98" w:rsidP="00281314">
            <w:pPr>
              <w:spacing w:after="0" w:line="240" w:lineRule="auto"/>
              <w:jc w:val="right"/>
              <w:rPr>
                <w:rFonts w:eastAsia="Times New Roman"/>
                <w:b/>
                <w:bCs/>
                <w:color w:val="000000"/>
                <w:sz w:val="20"/>
                <w:szCs w:val="20"/>
                <w:highlight w:val="yellow"/>
                <w:lang w:eastAsia="hr-HR"/>
              </w:rPr>
            </w:pPr>
            <w:r w:rsidRPr="00991251">
              <w:rPr>
                <w:rFonts w:eastAsia="Times New Roman"/>
                <w:b/>
                <w:bCs/>
                <w:color w:val="000000"/>
                <w:sz w:val="20"/>
                <w:szCs w:val="20"/>
                <w:lang w:eastAsia="hr-HR"/>
              </w:rPr>
              <w:t>210.961.755,74</w:t>
            </w:r>
          </w:p>
        </w:tc>
        <w:tc>
          <w:tcPr>
            <w:tcW w:w="1262" w:type="dxa"/>
            <w:vMerge w:val="restart"/>
            <w:tcBorders>
              <w:top w:val="nil"/>
              <w:left w:val="single" w:sz="8" w:space="0" w:color="auto"/>
              <w:bottom w:val="single" w:sz="8" w:space="0" w:color="auto"/>
              <w:right w:val="single" w:sz="8" w:space="0" w:color="auto"/>
            </w:tcBorders>
            <w:shd w:val="clear" w:color="000000" w:fill="F2F2F2"/>
            <w:vAlign w:val="center"/>
            <w:hideMark/>
          </w:tcPr>
          <w:p w14:paraId="0E1EA65F" w14:textId="28F8BC06"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54,7</w:t>
            </w:r>
            <w:r w:rsidR="00D42903">
              <w:rPr>
                <w:rFonts w:eastAsia="Times New Roman"/>
                <w:b/>
                <w:bCs/>
                <w:color w:val="000000"/>
                <w:sz w:val="20"/>
                <w:szCs w:val="20"/>
                <w:lang w:eastAsia="hr-HR"/>
              </w:rPr>
              <w:t xml:space="preserve"> %</w:t>
            </w:r>
          </w:p>
        </w:tc>
        <w:tc>
          <w:tcPr>
            <w:tcW w:w="1357" w:type="dxa"/>
            <w:tcBorders>
              <w:top w:val="nil"/>
              <w:left w:val="nil"/>
              <w:bottom w:val="single" w:sz="4" w:space="0" w:color="auto"/>
              <w:right w:val="single" w:sz="8" w:space="0" w:color="auto"/>
            </w:tcBorders>
            <w:shd w:val="clear" w:color="000000" w:fill="F2F2F2"/>
            <w:vAlign w:val="center"/>
            <w:hideMark/>
          </w:tcPr>
          <w:p w14:paraId="48E1512B" w14:textId="77777777"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OIE</w:t>
            </w:r>
          </w:p>
        </w:tc>
        <w:tc>
          <w:tcPr>
            <w:tcW w:w="2710" w:type="dxa"/>
            <w:tcBorders>
              <w:top w:val="nil"/>
              <w:left w:val="nil"/>
              <w:bottom w:val="single" w:sz="4" w:space="0" w:color="auto"/>
              <w:right w:val="single" w:sz="8" w:space="0" w:color="auto"/>
            </w:tcBorders>
            <w:shd w:val="clear" w:color="000000" w:fill="F2F2F2"/>
            <w:vAlign w:val="center"/>
            <w:hideMark/>
          </w:tcPr>
          <w:p w14:paraId="06F3C37A" w14:textId="77777777" w:rsidR="00B26B98" w:rsidRPr="00233455" w:rsidRDefault="00B26B98" w:rsidP="00281314">
            <w:pPr>
              <w:spacing w:after="0" w:line="240" w:lineRule="auto"/>
              <w:jc w:val="left"/>
              <w:rPr>
                <w:rFonts w:eastAsia="Times New Roman"/>
                <w:color w:val="000000"/>
                <w:sz w:val="20"/>
                <w:szCs w:val="20"/>
                <w:lang w:eastAsia="hr-HR"/>
              </w:rPr>
            </w:pPr>
            <w:r w:rsidRPr="00233455">
              <w:rPr>
                <w:rFonts w:eastAsia="Times New Roman"/>
                <w:color w:val="000000"/>
                <w:sz w:val="20"/>
                <w:szCs w:val="20"/>
                <w:lang w:eastAsia="hr-HR"/>
              </w:rPr>
              <w:t>Obnovljivi izvori energije</w:t>
            </w:r>
          </w:p>
        </w:tc>
        <w:tc>
          <w:tcPr>
            <w:tcW w:w="1809"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509EE587" w14:textId="77777777" w:rsidR="00B26B98" w:rsidRPr="00233455" w:rsidRDefault="00B26B98" w:rsidP="00281314">
            <w:pPr>
              <w:spacing w:after="0" w:line="240" w:lineRule="auto"/>
              <w:jc w:val="right"/>
              <w:rPr>
                <w:rFonts w:eastAsia="Times New Roman"/>
                <w:b/>
                <w:bCs/>
                <w:color w:val="000000"/>
                <w:sz w:val="20"/>
                <w:szCs w:val="20"/>
                <w:lang w:eastAsia="hr-HR"/>
              </w:rPr>
            </w:pPr>
            <w:r>
              <w:rPr>
                <w:rFonts w:eastAsia="Times New Roman"/>
                <w:b/>
                <w:bCs/>
                <w:color w:val="000000"/>
                <w:sz w:val="20"/>
                <w:szCs w:val="20"/>
                <w:lang w:eastAsia="hr-HR"/>
              </w:rPr>
              <w:t>459.056.555,05</w:t>
            </w:r>
          </w:p>
        </w:tc>
        <w:tc>
          <w:tcPr>
            <w:tcW w:w="1116"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7AD84D72" w14:textId="4C4AC4D5"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73,99</w:t>
            </w:r>
            <w:r w:rsidR="00D42903">
              <w:rPr>
                <w:rFonts w:eastAsia="Times New Roman"/>
                <w:b/>
                <w:bCs/>
                <w:color w:val="000000"/>
                <w:sz w:val="20"/>
                <w:szCs w:val="20"/>
                <w:lang w:eastAsia="hr-HR"/>
              </w:rPr>
              <w:t xml:space="preserve"> </w:t>
            </w:r>
            <w:r w:rsidRPr="00233455">
              <w:rPr>
                <w:rFonts w:eastAsia="Times New Roman"/>
                <w:b/>
                <w:bCs/>
                <w:color w:val="000000"/>
                <w:sz w:val="20"/>
                <w:szCs w:val="20"/>
                <w:lang w:eastAsia="hr-HR"/>
              </w:rPr>
              <w:t>%</w:t>
            </w:r>
          </w:p>
        </w:tc>
        <w:tc>
          <w:tcPr>
            <w:tcW w:w="2443" w:type="dxa"/>
            <w:tcBorders>
              <w:top w:val="nil"/>
              <w:left w:val="nil"/>
              <w:bottom w:val="single" w:sz="4" w:space="0" w:color="auto"/>
              <w:right w:val="single" w:sz="8" w:space="0" w:color="auto"/>
            </w:tcBorders>
            <w:shd w:val="clear" w:color="000000" w:fill="F2F2F2"/>
            <w:vAlign w:val="center"/>
            <w:hideMark/>
          </w:tcPr>
          <w:p w14:paraId="572013B6" w14:textId="77777777" w:rsidR="00B26B98" w:rsidRPr="00233455" w:rsidRDefault="00B26B98" w:rsidP="00281314">
            <w:pPr>
              <w:spacing w:after="0" w:line="240" w:lineRule="auto"/>
              <w:jc w:val="right"/>
              <w:rPr>
                <w:rFonts w:eastAsia="Times New Roman"/>
                <w:b/>
                <w:bCs/>
                <w:color w:val="000000"/>
                <w:sz w:val="20"/>
                <w:szCs w:val="20"/>
                <w:lang w:eastAsia="hr-HR"/>
              </w:rPr>
            </w:pPr>
            <w:r>
              <w:rPr>
                <w:rFonts w:eastAsia="Times New Roman"/>
                <w:b/>
                <w:bCs/>
                <w:color w:val="000000"/>
                <w:sz w:val="20"/>
                <w:szCs w:val="20"/>
                <w:lang w:eastAsia="hr-HR"/>
              </w:rPr>
              <w:t>137.595.078,64</w:t>
            </w:r>
          </w:p>
        </w:tc>
      </w:tr>
      <w:tr w:rsidR="005B0C27" w:rsidRPr="00233455" w14:paraId="6732BCC4" w14:textId="77777777" w:rsidTr="005B0C27">
        <w:trPr>
          <w:trHeight w:val="558"/>
        </w:trPr>
        <w:tc>
          <w:tcPr>
            <w:tcW w:w="1066" w:type="dxa"/>
            <w:vMerge/>
            <w:tcBorders>
              <w:top w:val="nil"/>
              <w:left w:val="single" w:sz="8" w:space="0" w:color="auto"/>
              <w:bottom w:val="single" w:sz="8" w:space="0" w:color="auto"/>
              <w:right w:val="single" w:sz="8" w:space="0" w:color="auto"/>
            </w:tcBorders>
            <w:vAlign w:val="center"/>
            <w:hideMark/>
          </w:tcPr>
          <w:p w14:paraId="3163AD5E"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715" w:type="dxa"/>
            <w:vMerge/>
            <w:tcBorders>
              <w:top w:val="nil"/>
              <w:left w:val="single" w:sz="8" w:space="0" w:color="auto"/>
              <w:bottom w:val="single" w:sz="8" w:space="0" w:color="auto"/>
              <w:right w:val="single" w:sz="8" w:space="0" w:color="auto"/>
            </w:tcBorders>
            <w:vAlign w:val="center"/>
            <w:hideMark/>
          </w:tcPr>
          <w:p w14:paraId="57FEAC5D"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680" w:type="dxa"/>
            <w:vMerge/>
            <w:tcBorders>
              <w:top w:val="nil"/>
              <w:left w:val="single" w:sz="8" w:space="0" w:color="auto"/>
              <w:bottom w:val="single" w:sz="8" w:space="0" w:color="auto"/>
              <w:right w:val="single" w:sz="8" w:space="0" w:color="auto"/>
            </w:tcBorders>
            <w:vAlign w:val="center"/>
            <w:hideMark/>
          </w:tcPr>
          <w:p w14:paraId="602754FC" w14:textId="77777777" w:rsidR="00B26B98" w:rsidRPr="001D6A5E" w:rsidRDefault="00B26B98" w:rsidP="00281314">
            <w:pPr>
              <w:spacing w:after="0" w:line="240" w:lineRule="auto"/>
              <w:jc w:val="left"/>
              <w:rPr>
                <w:rFonts w:eastAsia="Times New Roman"/>
                <w:b/>
                <w:bCs/>
                <w:color w:val="000000"/>
                <w:sz w:val="20"/>
                <w:szCs w:val="20"/>
                <w:highlight w:val="yellow"/>
                <w:lang w:eastAsia="hr-HR"/>
              </w:rPr>
            </w:pPr>
          </w:p>
        </w:tc>
        <w:tc>
          <w:tcPr>
            <w:tcW w:w="1262" w:type="dxa"/>
            <w:vMerge/>
            <w:tcBorders>
              <w:top w:val="nil"/>
              <w:left w:val="single" w:sz="8" w:space="0" w:color="auto"/>
              <w:bottom w:val="single" w:sz="8" w:space="0" w:color="auto"/>
              <w:right w:val="single" w:sz="8" w:space="0" w:color="auto"/>
            </w:tcBorders>
            <w:vAlign w:val="center"/>
            <w:hideMark/>
          </w:tcPr>
          <w:p w14:paraId="5FF42249"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357" w:type="dxa"/>
            <w:tcBorders>
              <w:top w:val="nil"/>
              <w:left w:val="nil"/>
              <w:bottom w:val="single" w:sz="4" w:space="0" w:color="auto"/>
              <w:right w:val="single" w:sz="8" w:space="0" w:color="auto"/>
            </w:tcBorders>
            <w:shd w:val="clear" w:color="000000" w:fill="F2F2F2"/>
            <w:vAlign w:val="center"/>
            <w:hideMark/>
          </w:tcPr>
          <w:p w14:paraId="33D42316" w14:textId="77777777" w:rsidR="00B26B98" w:rsidRPr="00233455" w:rsidRDefault="00B26B98" w:rsidP="00281314">
            <w:pPr>
              <w:spacing w:after="0" w:line="240" w:lineRule="auto"/>
              <w:jc w:val="center"/>
              <w:rPr>
                <w:rFonts w:eastAsia="Times New Roman"/>
                <w:b/>
                <w:bCs/>
                <w:color w:val="000000"/>
                <w:sz w:val="20"/>
                <w:szCs w:val="20"/>
                <w:lang w:eastAsia="hr-HR"/>
              </w:rPr>
            </w:pPr>
            <w:proofErr w:type="spellStart"/>
            <w:r w:rsidRPr="00233455">
              <w:rPr>
                <w:rFonts w:eastAsia="Times New Roman"/>
                <w:b/>
                <w:bCs/>
                <w:color w:val="000000"/>
                <w:sz w:val="20"/>
                <w:szCs w:val="20"/>
                <w:lang w:eastAsia="hr-HR"/>
              </w:rPr>
              <w:t>EnU</w:t>
            </w:r>
            <w:proofErr w:type="spellEnd"/>
          </w:p>
        </w:tc>
        <w:tc>
          <w:tcPr>
            <w:tcW w:w="2710" w:type="dxa"/>
            <w:tcBorders>
              <w:top w:val="nil"/>
              <w:left w:val="nil"/>
              <w:bottom w:val="single" w:sz="4" w:space="0" w:color="auto"/>
              <w:right w:val="single" w:sz="8" w:space="0" w:color="auto"/>
            </w:tcBorders>
            <w:shd w:val="clear" w:color="000000" w:fill="F2F2F2"/>
            <w:vAlign w:val="center"/>
            <w:hideMark/>
          </w:tcPr>
          <w:p w14:paraId="6C52D14A" w14:textId="77777777" w:rsidR="00B26B98" w:rsidRPr="00233455" w:rsidRDefault="00B26B98" w:rsidP="00281314">
            <w:pPr>
              <w:spacing w:after="0" w:line="240" w:lineRule="auto"/>
              <w:jc w:val="left"/>
              <w:rPr>
                <w:rFonts w:eastAsia="Times New Roman"/>
                <w:color w:val="000000"/>
                <w:sz w:val="20"/>
                <w:szCs w:val="20"/>
                <w:lang w:eastAsia="hr-HR"/>
              </w:rPr>
            </w:pPr>
            <w:r w:rsidRPr="00233455">
              <w:rPr>
                <w:rFonts w:eastAsia="Times New Roman"/>
                <w:color w:val="000000"/>
                <w:sz w:val="20"/>
                <w:szCs w:val="20"/>
                <w:lang w:eastAsia="hr-HR"/>
              </w:rPr>
              <w:t>Povećanje energetske učinkovitosti</w:t>
            </w:r>
          </w:p>
        </w:tc>
        <w:tc>
          <w:tcPr>
            <w:tcW w:w="1809" w:type="dxa"/>
            <w:vMerge/>
            <w:tcBorders>
              <w:top w:val="nil"/>
              <w:left w:val="single" w:sz="8" w:space="0" w:color="auto"/>
              <w:bottom w:val="single" w:sz="8" w:space="0" w:color="000000"/>
              <w:right w:val="single" w:sz="8" w:space="0" w:color="auto"/>
            </w:tcBorders>
            <w:vAlign w:val="center"/>
            <w:hideMark/>
          </w:tcPr>
          <w:p w14:paraId="4033FCF8"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116" w:type="dxa"/>
            <w:vMerge/>
            <w:tcBorders>
              <w:top w:val="nil"/>
              <w:left w:val="single" w:sz="8" w:space="0" w:color="auto"/>
              <w:bottom w:val="single" w:sz="8" w:space="0" w:color="000000"/>
              <w:right w:val="single" w:sz="8" w:space="0" w:color="auto"/>
            </w:tcBorders>
            <w:vAlign w:val="center"/>
            <w:hideMark/>
          </w:tcPr>
          <w:p w14:paraId="257C7DF4"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2443" w:type="dxa"/>
            <w:tcBorders>
              <w:top w:val="nil"/>
              <w:left w:val="nil"/>
              <w:bottom w:val="single" w:sz="4" w:space="0" w:color="auto"/>
              <w:right w:val="single" w:sz="8" w:space="0" w:color="auto"/>
            </w:tcBorders>
            <w:shd w:val="clear" w:color="000000" w:fill="F2F2F2"/>
            <w:vAlign w:val="center"/>
            <w:hideMark/>
          </w:tcPr>
          <w:p w14:paraId="33F8B489" w14:textId="77777777" w:rsidR="00B26B98" w:rsidRPr="00233455" w:rsidRDefault="00B26B98" w:rsidP="00281314">
            <w:pPr>
              <w:spacing w:after="0" w:line="240" w:lineRule="auto"/>
              <w:jc w:val="right"/>
              <w:rPr>
                <w:rFonts w:eastAsia="Times New Roman"/>
                <w:b/>
                <w:bCs/>
                <w:color w:val="000000"/>
                <w:sz w:val="20"/>
                <w:szCs w:val="20"/>
                <w:lang w:eastAsia="hr-HR"/>
              </w:rPr>
            </w:pPr>
            <w:r>
              <w:rPr>
                <w:rFonts w:eastAsia="Times New Roman"/>
                <w:b/>
                <w:bCs/>
                <w:color w:val="000000"/>
                <w:sz w:val="20"/>
                <w:szCs w:val="20"/>
                <w:lang w:eastAsia="hr-HR"/>
              </w:rPr>
              <w:t>89.727.452,92</w:t>
            </w:r>
          </w:p>
        </w:tc>
      </w:tr>
      <w:tr w:rsidR="005B0C27" w:rsidRPr="00233455" w14:paraId="1F27E568" w14:textId="77777777" w:rsidTr="005B0C27">
        <w:trPr>
          <w:trHeight w:val="420"/>
        </w:trPr>
        <w:tc>
          <w:tcPr>
            <w:tcW w:w="1066" w:type="dxa"/>
            <w:vMerge/>
            <w:tcBorders>
              <w:top w:val="nil"/>
              <w:left w:val="single" w:sz="8" w:space="0" w:color="auto"/>
              <w:bottom w:val="single" w:sz="8" w:space="0" w:color="auto"/>
              <w:right w:val="single" w:sz="8" w:space="0" w:color="auto"/>
            </w:tcBorders>
            <w:vAlign w:val="center"/>
            <w:hideMark/>
          </w:tcPr>
          <w:p w14:paraId="2080929B"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715" w:type="dxa"/>
            <w:vMerge/>
            <w:tcBorders>
              <w:top w:val="nil"/>
              <w:left w:val="single" w:sz="8" w:space="0" w:color="auto"/>
              <w:bottom w:val="single" w:sz="8" w:space="0" w:color="auto"/>
              <w:right w:val="single" w:sz="8" w:space="0" w:color="auto"/>
            </w:tcBorders>
            <w:vAlign w:val="center"/>
            <w:hideMark/>
          </w:tcPr>
          <w:p w14:paraId="7F851142"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680" w:type="dxa"/>
            <w:vMerge/>
            <w:tcBorders>
              <w:top w:val="nil"/>
              <w:left w:val="single" w:sz="8" w:space="0" w:color="auto"/>
              <w:bottom w:val="single" w:sz="8" w:space="0" w:color="auto"/>
              <w:right w:val="single" w:sz="8" w:space="0" w:color="auto"/>
            </w:tcBorders>
            <w:vAlign w:val="center"/>
            <w:hideMark/>
          </w:tcPr>
          <w:p w14:paraId="2EF3FFB9" w14:textId="77777777" w:rsidR="00B26B98" w:rsidRPr="001D6A5E" w:rsidRDefault="00B26B98" w:rsidP="00281314">
            <w:pPr>
              <w:spacing w:after="0" w:line="240" w:lineRule="auto"/>
              <w:jc w:val="left"/>
              <w:rPr>
                <w:rFonts w:eastAsia="Times New Roman"/>
                <w:b/>
                <w:bCs/>
                <w:color w:val="000000"/>
                <w:sz w:val="20"/>
                <w:szCs w:val="20"/>
                <w:highlight w:val="yellow"/>
                <w:lang w:eastAsia="hr-HR"/>
              </w:rPr>
            </w:pPr>
          </w:p>
        </w:tc>
        <w:tc>
          <w:tcPr>
            <w:tcW w:w="1262" w:type="dxa"/>
            <w:vMerge/>
            <w:tcBorders>
              <w:top w:val="nil"/>
              <w:left w:val="single" w:sz="8" w:space="0" w:color="auto"/>
              <w:bottom w:val="single" w:sz="8" w:space="0" w:color="auto"/>
              <w:right w:val="single" w:sz="8" w:space="0" w:color="auto"/>
            </w:tcBorders>
            <w:vAlign w:val="center"/>
            <w:hideMark/>
          </w:tcPr>
          <w:p w14:paraId="61A621AA"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357" w:type="dxa"/>
            <w:tcBorders>
              <w:top w:val="nil"/>
              <w:left w:val="nil"/>
              <w:bottom w:val="single" w:sz="4" w:space="0" w:color="auto"/>
              <w:right w:val="single" w:sz="8" w:space="0" w:color="auto"/>
            </w:tcBorders>
            <w:shd w:val="clear" w:color="000000" w:fill="F2F2F2"/>
            <w:vAlign w:val="center"/>
            <w:hideMark/>
          </w:tcPr>
          <w:p w14:paraId="3D665F35" w14:textId="77777777"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ES</w:t>
            </w:r>
          </w:p>
        </w:tc>
        <w:tc>
          <w:tcPr>
            <w:tcW w:w="2710" w:type="dxa"/>
            <w:tcBorders>
              <w:top w:val="nil"/>
              <w:left w:val="nil"/>
              <w:bottom w:val="single" w:sz="4" w:space="0" w:color="auto"/>
              <w:right w:val="single" w:sz="8" w:space="0" w:color="auto"/>
            </w:tcBorders>
            <w:shd w:val="clear" w:color="000000" w:fill="F2F2F2"/>
            <w:vAlign w:val="center"/>
            <w:hideMark/>
          </w:tcPr>
          <w:p w14:paraId="1B5F560A" w14:textId="77777777" w:rsidR="00B26B98" w:rsidRPr="00233455" w:rsidRDefault="00B26B98" w:rsidP="00281314">
            <w:pPr>
              <w:spacing w:after="0" w:line="240" w:lineRule="auto"/>
              <w:jc w:val="left"/>
              <w:rPr>
                <w:rFonts w:eastAsia="Times New Roman"/>
                <w:color w:val="000000"/>
                <w:sz w:val="20"/>
                <w:szCs w:val="20"/>
                <w:lang w:eastAsia="hr-HR"/>
              </w:rPr>
            </w:pPr>
            <w:r w:rsidRPr="00233455">
              <w:rPr>
                <w:rFonts w:eastAsia="Times New Roman"/>
                <w:color w:val="000000"/>
                <w:sz w:val="20"/>
                <w:szCs w:val="20"/>
                <w:lang w:eastAsia="hr-HR"/>
              </w:rPr>
              <w:t>Energetsko siromaštvo</w:t>
            </w:r>
          </w:p>
        </w:tc>
        <w:tc>
          <w:tcPr>
            <w:tcW w:w="1809" w:type="dxa"/>
            <w:vMerge/>
            <w:tcBorders>
              <w:top w:val="nil"/>
              <w:left w:val="single" w:sz="8" w:space="0" w:color="auto"/>
              <w:bottom w:val="single" w:sz="8" w:space="0" w:color="000000"/>
              <w:right w:val="single" w:sz="8" w:space="0" w:color="auto"/>
            </w:tcBorders>
            <w:vAlign w:val="center"/>
            <w:hideMark/>
          </w:tcPr>
          <w:p w14:paraId="337472AF"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116" w:type="dxa"/>
            <w:vMerge/>
            <w:tcBorders>
              <w:top w:val="nil"/>
              <w:left w:val="single" w:sz="8" w:space="0" w:color="auto"/>
              <w:bottom w:val="single" w:sz="8" w:space="0" w:color="000000"/>
              <w:right w:val="single" w:sz="8" w:space="0" w:color="auto"/>
            </w:tcBorders>
            <w:vAlign w:val="center"/>
            <w:hideMark/>
          </w:tcPr>
          <w:p w14:paraId="15606E21"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2443" w:type="dxa"/>
            <w:tcBorders>
              <w:top w:val="nil"/>
              <w:left w:val="nil"/>
              <w:bottom w:val="single" w:sz="4" w:space="0" w:color="auto"/>
              <w:right w:val="single" w:sz="8" w:space="0" w:color="auto"/>
            </w:tcBorders>
            <w:shd w:val="clear" w:color="000000" w:fill="F2F2F2"/>
            <w:vAlign w:val="center"/>
            <w:hideMark/>
          </w:tcPr>
          <w:p w14:paraId="2F6DB790" w14:textId="77777777" w:rsidR="00B26B98" w:rsidRPr="00233455" w:rsidRDefault="00B26B98" w:rsidP="00281314">
            <w:pPr>
              <w:spacing w:after="0" w:line="240" w:lineRule="auto"/>
              <w:jc w:val="right"/>
              <w:rPr>
                <w:rFonts w:eastAsia="Times New Roman"/>
                <w:b/>
                <w:bCs/>
                <w:color w:val="000000"/>
                <w:sz w:val="20"/>
                <w:szCs w:val="20"/>
                <w:lang w:eastAsia="hr-HR"/>
              </w:rPr>
            </w:pPr>
            <w:r>
              <w:rPr>
                <w:rFonts w:eastAsia="Times New Roman"/>
                <w:b/>
                <w:bCs/>
                <w:color w:val="000000"/>
                <w:sz w:val="20"/>
                <w:szCs w:val="20"/>
                <w:lang w:eastAsia="hr-HR"/>
              </w:rPr>
              <w:t>185.811.931,78</w:t>
            </w:r>
          </w:p>
        </w:tc>
      </w:tr>
      <w:tr w:rsidR="005B0C27" w:rsidRPr="00233455" w14:paraId="6D0251BD" w14:textId="77777777" w:rsidTr="005B0C27">
        <w:trPr>
          <w:trHeight w:val="374"/>
        </w:trPr>
        <w:tc>
          <w:tcPr>
            <w:tcW w:w="1066" w:type="dxa"/>
            <w:vMerge/>
            <w:tcBorders>
              <w:top w:val="nil"/>
              <w:left w:val="single" w:sz="8" w:space="0" w:color="auto"/>
              <w:bottom w:val="single" w:sz="8" w:space="0" w:color="auto"/>
              <w:right w:val="single" w:sz="8" w:space="0" w:color="auto"/>
            </w:tcBorders>
            <w:vAlign w:val="center"/>
            <w:hideMark/>
          </w:tcPr>
          <w:p w14:paraId="5898954E"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715" w:type="dxa"/>
            <w:vMerge/>
            <w:tcBorders>
              <w:top w:val="nil"/>
              <w:left w:val="single" w:sz="8" w:space="0" w:color="auto"/>
              <w:bottom w:val="single" w:sz="8" w:space="0" w:color="auto"/>
              <w:right w:val="single" w:sz="8" w:space="0" w:color="auto"/>
            </w:tcBorders>
            <w:vAlign w:val="center"/>
            <w:hideMark/>
          </w:tcPr>
          <w:p w14:paraId="70A4B8F6"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680" w:type="dxa"/>
            <w:vMerge/>
            <w:tcBorders>
              <w:top w:val="nil"/>
              <w:left w:val="single" w:sz="8" w:space="0" w:color="auto"/>
              <w:bottom w:val="single" w:sz="8" w:space="0" w:color="auto"/>
              <w:right w:val="single" w:sz="8" w:space="0" w:color="auto"/>
            </w:tcBorders>
            <w:vAlign w:val="center"/>
            <w:hideMark/>
          </w:tcPr>
          <w:p w14:paraId="7A589738" w14:textId="77777777" w:rsidR="00B26B98" w:rsidRPr="001D6A5E" w:rsidRDefault="00B26B98" w:rsidP="00281314">
            <w:pPr>
              <w:spacing w:after="0" w:line="240" w:lineRule="auto"/>
              <w:jc w:val="left"/>
              <w:rPr>
                <w:rFonts w:eastAsia="Times New Roman"/>
                <w:b/>
                <w:bCs/>
                <w:color w:val="000000"/>
                <w:sz w:val="20"/>
                <w:szCs w:val="20"/>
                <w:highlight w:val="yellow"/>
                <w:lang w:eastAsia="hr-HR"/>
              </w:rPr>
            </w:pPr>
          </w:p>
        </w:tc>
        <w:tc>
          <w:tcPr>
            <w:tcW w:w="1262" w:type="dxa"/>
            <w:vMerge/>
            <w:tcBorders>
              <w:top w:val="nil"/>
              <w:left w:val="single" w:sz="8" w:space="0" w:color="auto"/>
              <w:bottom w:val="single" w:sz="8" w:space="0" w:color="auto"/>
              <w:right w:val="single" w:sz="8" w:space="0" w:color="auto"/>
            </w:tcBorders>
            <w:vAlign w:val="center"/>
            <w:hideMark/>
          </w:tcPr>
          <w:p w14:paraId="33AE483D"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357" w:type="dxa"/>
            <w:tcBorders>
              <w:top w:val="nil"/>
              <w:left w:val="nil"/>
              <w:bottom w:val="single" w:sz="4" w:space="0" w:color="auto"/>
              <w:right w:val="single" w:sz="8" w:space="0" w:color="auto"/>
            </w:tcBorders>
            <w:shd w:val="clear" w:color="000000" w:fill="F2F2F2"/>
            <w:vAlign w:val="center"/>
            <w:hideMark/>
          </w:tcPr>
          <w:p w14:paraId="4016209B" w14:textId="77777777"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PR</w:t>
            </w:r>
          </w:p>
        </w:tc>
        <w:tc>
          <w:tcPr>
            <w:tcW w:w="2710" w:type="dxa"/>
            <w:tcBorders>
              <w:top w:val="nil"/>
              <w:left w:val="nil"/>
              <w:bottom w:val="single" w:sz="4" w:space="0" w:color="auto"/>
              <w:right w:val="single" w:sz="8" w:space="0" w:color="auto"/>
            </w:tcBorders>
            <w:shd w:val="clear" w:color="000000" w:fill="F2F2F2"/>
            <w:vAlign w:val="center"/>
            <w:hideMark/>
          </w:tcPr>
          <w:p w14:paraId="2BEDA8FC" w14:textId="77777777" w:rsidR="00B26B98" w:rsidRPr="00233455" w:rsidRDefault="00B26B98" w:rsidP="00281314">
            <w:pPr>
              <w:spacing w:after="0" w:line="240" w:lineRule="auto"/>
              <w:jc w:val="left"/>
              <w:rPr>
                <w:rFonts w:eastAsia="Times New Roman"/>
                <w:color w:val="000000"/>
                <w:sz w:val="20"/>
                <w:szCs w:val="20"/>
                <w:lang w:eastAsia="hr-HR"/>
              </w:rPr>
            </w:pPr>
            <w:r w:rsidRPr="00233455">
              <w:rPr>
                <w:rFonts w:eastAsia="Times New Roman"/>
                <w:color w:val="000000"/>
                <w:sz w:val="20"/>
                <w:szCs w:val="20"/>
                <w:lang w:eastAsia="hr-HR"/>
              </w:rPr>
              <w:t>Smanjenje emisija stakleničkih plinova u prometu</w:t>
            </w:r>
          </w:p>
        </w:tc>
        <w:tc>
          <w:tcPr>
            <w:tcW w:w="1809" w:type="dxa"/>
            <w:vMerge/>
            <w:tcBorders>
              <w:top w:val="nil"/>
              <w:left w:val="single" w:sz="8" w:space="0" w:color="auto"/>
              <w:bottom w:val="single" w:sz="8" w:space="0" w:color="000000"/>
              <w:right w:val="single" w:sz="8" w:space="0" w:color="auto"/>
            </w:tcBorders>
            <w:vAlign w:val="center"/>
            <w:hideMark/>
          </w:tcPr>
          <w:p w14:paraId="57789ABF"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116" w:type="dxa"/>
            <w:vMerge/>
            <w:tcBorders>
              <w:top w:val="nil"/>
              <w:left w:val="single" w:sz="8" w:space="0" w:color="auto"/>
              <w:bottom w:val="single" w:sz="8" w:space="0" w:color="000000"/>
              <w:right w:val="single" w:sz="8" w:space="0" w:color="auto"/>
            </w:tcBorders>
            <w:vAlign w:val="center"/>
            <w:hideMark/>
          </w:tcPr>
          <w:p w14:paraId="48D56B00"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2443" w:type="dxa"/>
            <w:tcBorders>
              <w:top w:val="nil"/>
              <w:left w:val="nil"/>
              <w:bottom w:val="single" w:sz="4" w:space="0" w:color="auto"/>
              <w:right w:val="single" w:sz="8" w:space="0" w:color="auto"/>
            </w:tcBorders>
            <w:shd w:val="clear" w:color="000000" w:fill="F2F2F2"/>
            <w:vAlign w:val="center"/>
            <w:hideMark/>
          </w:tcPr>
          <w:p w14:paraId="3E76C221" w14:textId="77777777" w:rsidR="00B26B98" w:rsidRPr="00233455" w:rsidRDefault="00B26B98" w:rsidP="00281314">
            <w:pPr>
              <w:spacing w:after="0" w:line="240" w:lineRule="auto"/>
              <w:jc w:val="right"/>
              <w:rPr>
                <w:rFonts w:eastAsia="Times New Roman"/>
                <w:b/>
                <w:bCs/>
                <w:color w:val="000000"/>
                <w:sz w:val="20"/>
                <w:szCs w:val="20"/>
                <w:lang w:eastAsia="hr-HR"/>
              </w:rPr>
            </w:pPr>
            <w:r>
              <w:rPr>
                <w:rFonts w:eastAsia="Times New Roman"/>
                <w:b/>
                <w:bCs/>
                <w:color w:val="000000"/>
                <w:sz w:val="20"/>
                <w:szCs w:val="20"/>
                <w:lang w:eastAsia="hr-HR"/>
              </w:rPr>
              <w:t>39.816.842,52</w:t>
            </w:r>
          </w:p>
        </w:tc>
      </w:tr>
      <w:tr w:rsidR="005B0C27" w:rsidRPr="00233455" w14:paraId="2DFB58B7" w14:textId="77777777" w:rsidTr="005B0C27">
        <w:trPr>
          <w:trHeight w:val="390"/>
        </w:trPr>
        <w:tc>
          <w:tcPr>
            <w:tcW w:w="1066" w:type="dxa"/>
            <w:vMerge/>
            <w:tcBorders>
              <w:top w:val="nil"/>
              <w:left w:val="single" w:sz="8" w:space="0" w:color="auto"/>
              <w:bottom w:val="single" w:sz="8" w:space="0" w:color="auto"/>
              <w:right w:val="single" w:sz="8" w:space="0" w:color="auto"/>
            </w:tcBorders>
            <w:vAlign w:val="center"/>
            <w:hideMark/>
          </w:tcPr>
          <w:p w14:paraId="0D06B321"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715" w:type="dxa"/>
            <w:vMerge/>
            <w:tcBorders>
              <w:top w:val="nil"/>
              <w:left w:val="single" w:sz="8" w:space="0" w:color="auto"/>
              <w:bottom w:val="single" w:sz="8" w:space="0" w:color="auto"/>
              <w:right w:val="single" w:sz="8" w:space="0" w:color="auto"/>
            </w:tcBorders>
            <w:vAlign w:val="center"/>
            <w:hideMark/>
          </w:tcPr>
          <w:p w14:paraId="5512A904"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680" w:type="dxa"/>
            <w:vMerge/>
            <w:tcBorders>
              <w:top w:val="nil"/>
              <w:left w:val="single" w:sz="8" w:space="0" w:color="auto"/>
              <w:bottom w:val="single" w:sz="8" w:space="0" w:color="auto"/>
              <w:right w:val="single" w:sz="8" w:space="0" w:color="auto"/>
            </w:tcBorders>
            <w:vAlign w:val="center"/>
            <w:hideMark/>
          </w:tcPr>
          <w:p w14:paraId="47EAE8DA" w14:textId="77777777" w:rsidR="00B26B98" w:rsidRPr="001D6A5E" w:rsidRDefault="00B26B98" w:rsidP="00281314">
            <w:pPr>
              <w:spacing w:after="0" w:line="240" w:lineRule="auto"/>
              <w:jc w:val="left"/>
              <w:rPr>
                <w:rFonts w:eastAsia="Times New Roman"/>
                <w:b/>
                <w:bCs/>
                <w:color w:val="000000"/>
                <w:sz w:val="20"/>
                <w:szCs w:val="20"/>
                <w:highlight w:val="yellow"/>
                <w:lang w:eastAsia="hr-HR"/>
              </w:rPr>
            </w:pPr>
          </w:p>
        </w:tc>
        <w:tc>
          <w:tcPr>
            <w:tcW w:w="1262" w:type="dxa"/>
            <w:vMerge/>
            <w:tcBorders>
              <w:top w:val="nil"/>
              <w:left w:val="single" w:sz="8" w:space="0" w:color="auto"/>
              <w:bottom w:val="single" w:sz="8" w:space="0" w:color="auto"/>
              <w:right w:val="single" w:sz="8" w:space="0" w:color="auto"/>
            </w:tcBorders>
            <w:vAlign w:val="center"/>
            <w:hideMark/>
          </w:tcPr>
          <w:p w14:paraId="19F3CA57"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357" w:type="dxa"/>
            <w:tcBorders>
              <w:top w:val="nil"/>
              <w:left w:val="nil"/>
              <w:bottom w:val="single" w:sz="8" w:space="0" w:color="auto"/>
              <w:right w:val="single" w:sz="8" w:space="0" w:color="auto"/>
            </w:tcBorders>
            <w:shd w:val="clear" w:color="000000" w:fill="F2F2F2"/>
            <w:vAlign w:val="center"/>
            <w:hideMark/>
          </w:tcPr>
          <w:p w14:paraId="38A62899" w14:textId="77777777"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II</w:t>
            </w:r>
          </w:p>
        </w:tc>
        <w:tc>
          <w:tcPr>
            <w:tcW w:w="2710" w:type="dxa"/>
            <w:tcBorders>
              <w:top w:val="nil"/>
              <w:left w:val="nil"/>
              <w:bottom w:val="single" w:sz="8" w:space="0" w:color="auto"/>
              <w:right w:val="single" w:sz="8" w:space="0" w:color="auto"/>
            </w:tcBorders>
            <w:shd w:val="clear" w:color="000000" w:fill="F2F2F2"/>
            <w:vAlign w:val="center"/>
            <w:hideMark/>
          </w:tcPr>
          <w:p w14:paraId="597049E0" w14:textId="77777777" w:rsidR="00B26B98" w:rsidRPr="00233455" w:rsidRDefault="00B26B98" w:rsidP="00281314">
            <w:pPr>
              <w:spacing w:after="0" w:line="240" w:lineRule="auto"/>
              <w:jc w:val="left"/>
              <w:rPr>
                <w:rFonts w:eastAsia="Times New Roman"/>
                <w:color w:val="000000"/>
                <w:sz w:val="20"/>
                <w:szCs w:val="20"/>
                <w:lang w:eastAsia="hr-HR"/>
              </w:rPr>
            </w:pPr>
            <w:r w:rsidRPr="00233455">
              <w:rPr>
                <w:rFonts w:eastAsia="Times New Roman"/>
                <w:color w:val="000000"/>
                <w:sz w:val="20"/>
                <w:szCs w:val="20"/>
                <w:lang w:eastAsia="hr-HR"/>
              </w:rPr>
              <w:t>Istraživanje i inovacije</w:t>
            </w:r>
          </w:p>
        </w:tc>
        <w:tc>
          <w:tcPr>
            <w:tcW w:w="1809" w:type="dxa"/>
            <w:vMerge/>
            <w:tcBorders>
              <w:top w:val="nil"/>
              <w:left w:val="single" w:sz="8" w:space="0" w:color="auto"/>
              <w:bottom w:val="single" w:sz="8" w:space="0" w:color="000000"/>
              <w:right w:val="single" w:sz="8" w:space="0" w:color="auto"/>
            </w:tcBorders>
            <w:vAlign w:val="center"/>
            <w:hideMark/>
          </w:tcPr>
          <w:p w14:paraId="43CEFD7A"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116" w:type="dxa"/>
            <w:vMerge/>
            <w:tcBorders>
              <w:top w:val="nil"/>
              <w:left w:val="single" w:sz="8" w:space="0" w:color="auto"/>
              <w:bottom w:val="single" w:sz="8" w:space="0" w:color="000000"/>
              <w:right w:val="single" w:sz="8" w:space="0" w:color="auto"/>
            </w:tcBorders>
            <w:vAlign w:val="center"/>
            <w:hideMark/>
          </w:tcPr>
          <w:p w14:paraId="76DF08C2"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2443" w:type="dxa"/>
            <w:tcBorders>
              <w:top w:val="nil"/>
              <w:left w:val="nil"/>
              <w:bottom w:val="single" w:sz="8" w:space="0" w:color="auto"/>
              <w:right w:val="single" w:sz="8" w:space="0" w:color="auto"/>
            </w:tcBorders>
            <w:shd w:val="clear" w:color="000000" w:fill="F2F2F2"/>
            <w:vAlign w:val="center"/>
            <w:hideMark/>
          </w:tcPr>
          <w:p w14:paraId="655FF9B4" w14:textId="77777777" w:rsidR="00B26B98" w:rsidRPr="00233455" w:rsidRDefault="00B26B98" w:rsidP="00281314">
            <w:pPr>
              <w:spacing w:after="0" w:line="240" w:lineRule="auto"/>
              <w:jc w:val="right"/>
              <w:rPr>
                <w:rFonts w:eastAsia="Times New Roman"/>
                <w:b/>
                <w:bCs/>
                <w:color w:val="000000"/>
                <w:sz w:val="20"/>
                <w:szCs w:val="20"/>
                <w:lang w:eastAsia="hr-HR"/>
              </w:rPr>
            </w:pPr>
            <w:r>
              <w:rPr>
                <w:rFonts w:eastAsia="Times New Roman"/>
                <w:b/>
                <w:bCs/>
                <w:color w:val="000000"/>
                <w:sz w:val="20"/>
                <w:szCs w:val="20"/>
                <w:lang w:eastAsia="hr-HR"/>
              </w:rPr>
              <w:t>6.105.249,19</w:t>
            </w:r>
          </w:p>
        </w:tc>
      </w:tr>
      <w:tr w:rsidR="005B0C27" w:rsidRPr="00233455" w14:paraId="7E6C6962" w14:textId="77777777" w:rsidTr="005B0C27">
        <w:trPr>
          <w:trHeight w:val="769"/>
        </w:trPr>
        <w:tc>
          <w:tcPr>
            <w:tcW w:w="1066" w:type="dxa"/>
            <w:vMerge w:val="restart"/>
            <w:tcBorders>
              <w:top w:val="nil"/>
              <w:left w:val="single" w:sz="8" w:space="0" w:color="auto"/>
              <w:bottom w:val="single" w:sz="8" w:space="0" w:color="auto"/>
              <w:right w:val="single" w:sz="8" w:space="0" w:color="auto"/>
            </w:tcBorders>
            <w:shd w:val="clear" w:color="000000" w:fill="F2F2F2"/>
            <w:vAlign w:val="center"/>
            <w:hideMark/>
          </w:tcPr>
          <w:p w14:paraId="1E8734A8" w14:textId="77777777"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NES/OT</w:t>
            </w:r>
          </w:p>
        </w:tc>
        <w:tc>
          <w:tcPr>
            <w:tcW w:w="1715" w:type="dxa"/>
            <w:vMerge w:val="restart"/>
            <w:tcBorders>
              <w:top w:val="nil"/>
              <w:left w:val="single" w:sz="8" w:space="0" w:color="auto"/>
              <w:bottom w:val="single" w:sz="8" w:space="0" w:color="auto"/>
              <w:right w:val="single" w:sz="8" w:space="0" w:color="auto"/>
            </w:tcBorders>
            <w:shd w:val="clear" w:color="000000" w:fill="F2F2F2"/>
            <w:vAlign w:val="center"/>
            <w:hideMark/>
          </w:tcPr>
          <w:p w14:paraId="43FBD225" w14:textId="60C23B31" w:rsidR="00B26B98" w:rsidRPr="00233455" w:rsidRDefault="00B26B98" w:rsidP="00281314">
            <w:pPr>
              <w:spacing w:after="0" w:line="240" w:lineRule="auto"/>
              <w:jc w:val="left"/>
              <w:rPr>
                <w:rFonts w:eastAsia="Times New Roman"/>
                <w:b/>
                <w:bCs/>
                <w:color w:val="000000"/>
                <w:sz w:val="20"/>
                <w:szCs w:val="20"/>
                <w:lang w:eastAsia="hr-HR"/>
              </w:rPr>
            </w:pPr>
            <w:r w:rsidRPr="00233455">
              <w:rPr>
                <w:rFonts w:eastAsia="Times New Roman"/>
                <w:b/>
                <w:bCs/>
                <w:color w:val="000000"/>
                <w:sz w:val="20"/>
                <w:szCs w:val="20"/>
                <w:lang w:eastAsia="hr-HR"/>
              </w:rPr>
              <w:t xml:space="preserve">Ukupno </w:t>
            </w:r>
            <w:proofErr w:type="spellStart"/>
            <w:r w:rsidRPr="00233455">
              <w:rPr>
                <w:rFonts w:eastAsia="Times New Roman"/>
                <w:b/>
                <w:bCs/>
                <w:color w:val="000000"/>
                <w:sz w:val="20"/>
                <w:szCs w:val="20"/>
                <w:lang w:eastAsia="hr-HR"/>
              </w:rPr>
              <w:t>neenergetski</w:t>
            </w:r>
            <w:proofErr w:type="spellEnd"/>
            <w:r w:rsidRPr="00233455">
              <w:rPr>
                <w:rFonts w:eastAsia="Times New Roman"/>
                <w:b/>
                <w:bCs/>
                <w:color w:val="000000"/>
                <w:sz w:val="20"/>
                <w:szCs w:val="20"/>
                <w:lang w:eastAsia="hr-HR"/>
              </w:rPr>
              <w:t xml:space="preserve"> sektor (uključujući sektor gospodarenja otpadom)</w:t>
            </w:r>
          </w:p>
        </w:tc>
        <w:tc>
          <w:tcPr>
            <w:tcW w:w="1680" w:type="dxa"/>
            <w:vMerge w:val="restart"/>
            <w:tcBorders>
              <w:top w:val="nil"/>
              <w:left w:val="single" w:sz="8" w:space="0" w:color="auto"/>
              <w:bottom w:val="single" w:sz="8" w:space="0" w:color="auto"/>
              <w:right w:val="single" w:sz="8" w:space="0" w:color="auto"/>
            </w:tcBorders>
            <w:shd w:val="clear" w:color="000000" w:fill="F2F2F2"/>
            <w:vAlign w:val="center"/>
            <w:hideMark/>
          </w:tcPr>
          <w:p w14:paraId="2EB9A95D" w14:textId="77777777" w:rsidR="00B26B98" w:rsidRPr="001D6A5E" w:rsidRDefault="00B26B98" w:rsidP="00281314">
            <w:pPr>
              <w:spacing w:after="0" w:line="240" w:lineRule="auto"/>
              <w:jc w:val="right"/>
              <w:rPr>
                <w:rFonts w:eastAsia="Times New Roman"/>
                <w:b/>
                <w:bCs/>
                <w:color w:val="000000"/>
                <w:sz w:val="20"/>
                <w:szCs w:val="20"/>
                <w:highlight w:val="yellow"/>
                <w:lang w:eastAsia="hr-HR"/>
              </w:rPr>
            </w:pPr>
            <w:r w:rsidRPr="00991251">
              <w:rPr>
                <w:rFonts w:eastAsia="Times New Roman"/>
                <w:b/>
                <w:bCs/>
                <w:color w:val="000000"/>
                <w:sz w:val="20"/>
                <w:szCs w:val="20"/>
                <w:lang w:eastAsia="hr-HR"/>
              </w:rPr>
              <w:t>66.377.967,62</w:t>
            </w:r>
          </w:p>
        </w:tc>
        <w:tc>
          <w:tcPr>
            <w:tcW w:w="1262" w:type="dxa"/>
            <w:vMerge w:val="restart"/>
            <w:tcBorders>
              <w:top w:val="nil"/>
              <w:left w:val="single" w:sz="8" w:space="0" w:color="auto"/>
              <w:bottom w:val="single" w:sz="8" w:space="0" w:color="auto"/>
              <w:right w:val="single" w:sz="8" w:space="0" w:color="auto"/>
            </w:tcBorders>
            <w:shd w:val="clear" w:color="000000" w:fill="F2F2F2"/>
            <w:vAlign w:val="center"/>
            <w:hideMark/>
          </w:tcPr>
          <w:p w14:paraId="23A3190C" w14:textId="075F9EA3"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17,21</w:t>
            </w:r>
            <w:r w:rsidR="00D42903">
              <w:rPr>
                <w:rFonts w:eastAsia="Times New Roman"/>
                <w:b/>
                <w:bCs/>
                <w:color w:val="000000"/>
                <w:sz w:val="20"/>
                <w:szCs w:val="20"/>
                <w:lang w:eastAsia="hr-HR"/>
              </w:rPr>
              <w:t xml:space="preserve"> %</w:t>
            </w:r>
          </w:p>
        </w:tc>
        <w:tc>
          <w:tcPr>
            <w:tcW w:w="1357" w:type="dxa"/>
            <w:tcBorders>
              <w:top w:val="nil"/>
              <w:left w:val="nil"/>
              <w:bottom w:val="single" w:sz="4" w:space="0" w:color="auto"/>
              <w:right w:val="single" w:sz="8" w:space="0" w:color="auto"/>
            </w:tcBorders>
            <w:shd w:val="clear" w:color="000000" w:fill="F2F2F2"/>
            <w:vAlign w:val="center"/>
            <w:hideMark/>
          </w:tcPr>
          <w:p w14:paraId="4304A70B" w14:textId="77777777"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NES</w:t>
            </w:r>
          </w:p>
        </w:tc>
        <w:tc>
          <w:tcPr>
            <w:tcW w:w="2710" w:type="dxa"/>
            <w:tcBorders>
              <w:top w:val="nil"/>
              <w:left w:val="nil"/>
              <w:bottom w:val="single" w:sz="4" w:space="0" w:color="auto"/>
              <w:right w:val="single" w:sz="8" w:space="0" w:color="auto"/>
            </w:tcBorders>
            <w:shd w:val="clear" w:color="000000" w:fill="F2F2F2"/>
            <w:vAlign w:val="center"/>
            <w:hideMark/>
          </w:tcPr>
          <w:p w14:paraId="248927FD" w14:textId="77777777" w:rsidR="00B26B98" w:rsidRPr="00233455" w:rsidRDefault="00B26B98" w:rsidP="00281314">
            <w:pPr>
              <w:spacing w:after="0" w:line="240" w:lineRule="auto"/>
              <w:jc w:val="left"/>
              <w:rPr>
                <w:rFonts w:eastAsia="Times New Roman"/>
                <w:color w:val="000000"/>
                <w:sz w:val="20"/>
                <w:szCs w:val="20"/>
                <w:lang w:eastAsia="hr-HR"/>
              </w:rPr>
            </w:pPr>
            <w:r w:rsidRPr="00233455">
              <w:rPr>
                <w:rFonts w:eastAsia="Times New Roman"/>
                <w:color w:val="000000"/>
                <w:sz w:val="20"/>
                <w:szCs w:val="20"/>
                <w:lang w:eastAsia="hr-HR"/>
              </w:rPr>
              <w:t xml:space="preserve">Smanjenje emisija stakleničkih plinova u </w:t>
            </w:r>
            <w:proofErr w:type="spellStart"/>
            <w:r w:rsidRPr="00233455">
              <w:rPr>
                <w:rFonts w:eastAsia="Times New Roman"/>
                <w:color w:val="000000"/>
                <w:sz w:val="20"/>
                <w:szCs w:val="20"/>
                <w:lang w:eastAsia="hr-HR"/>
              </w:rPr>
              <w:t>neenergetskom</w:t>
            </w:r>
            <w:proofErr w:type="spellEnd"/>
            <w:r w:rsidRPr="00233455">
              <w:rPr>
                <w:rFonts w:eastAsia="Times New Roman"/>
                <w:color w:val="000000"/>
                <w:sz w:val="20"/>
                <w:szCs w:val="20"/>
                <w:lang w:eastAsia="hr-HR"/>
              </w:rPr>
              <w:t xml:space="preserve"> sektoru, uključujući industrijske procese</w:t>
            </w:r>
          </w:p>
        </w:tc>
        <w:tc>
          <w:tcPr>
            <w:tcW w:w="1809"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3CCFEA54" w14:textId="77777777" w:rsidR="00B26B98" w:rsidRPr="00233455" w:rsidRDefault="00B26B98" w:rsidP="00281314">
            <w:pPr>
              <w:spacing w:after="0" w:line="240" w:lineRule="auto"/>
              <w:jc w:val="right"/>
              <w:rPr>
                <w:rFonts w:eastAsia="Times New Roman"/>
                <w:b/>
                <w:bCs/>
                <w:color w:val="000000"/>
                <w:sz w:val="20"/>
                <w:szCs w:val="20"/>
                <w:lang w:eastAsia="hr-HR"/>
              </w:rPr>
            </w:pPr>
            <w:r>
              <w:rPr>
                <w:rFonts w:eastAsia="Times New Roman"/>
                <w:b/>
                <w:bCs/>
                <w:color w:val="000000"/>
                <w:sz w:val="20"/>
                <w:szCs w:val="20"/>
                <w:lang w:eastAsia="hr-HR"/>
              </w:rPr>
              <w:t>53.105.686,77</w:t>
            </w:r>
          </w:p>
        </w:tc>
        <w:tc>
          <w:tcPr>
            <w:tcW w:w="1116"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0F5D750E" w14:textId="6B6DF9D1"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8,56</w:t>
            </w:r>
            <w:r w:rsidR="00D42903">
              <w:rPr>
                <w:rFonts w:eastAsia="Times New Roman"/>
                <w:b/>
                <w:bCs/>
                <w:color w:val="000000"/>
                <w:sz w:val="20"/>
                <w:szCs w:val="20"/>
                <w:lang w:eastAsia="hr-HR"/>
              </w:rPr>
              <w:t xml:space="preserve"> </w:t>
            </w:r>
            <w:r w:rsidRPr="00233455">
              <w:rPr>
                <w:rFonts w:eastAsia="Times New Roman"/>
                <w:b/>
                <w:bCs/>
                <w:color w:val="000000"/>
                <w:sz w:val="20"/>
                <w:szCs w:val="20"/>
                <w:lang w:eastAsia="hr-HR"/>
              </w:rPr>
              <w:t>%</w:t>
            </w:r>
          </w:p>
        </w:tc>
        <w:tc>
          <w:tcPr>
            <w:tcW w:w="2443" w:type="dxa"/>
            <w:tcBorders>
              <w:top w:val="nil"/>
              <w:left w:val="nil"/>
              <w:bottom w:val="single" w:sz="4" w:space="0" w:color="auto"/>
              <w:right w:val="single" w:sz="8" w:space="0" w:color="auto"/>
            </w:tcBorders>
            <w:shd w:val="clear" w:color="000000" w:fill="F2F2F2"/>
            <w:vAlign w:val="center"/>
            <w:hideMark/>
          </w:tcPr>
          <w:p w14:paraId="0F605A14" w14:textId="77777777" w:rsidR="00B26B98" w:rsidRPr="00233455" w:rsidRDefault="00B26B98" w:rsidP="00281314">
            <w:pPr>
              <w:spacing w:after="0" w:line="240" w:lineRule="auto"/>
              <w:jc w:val="right"/>
              <w:rPr>
                <w:rFonts w:eastAsia="Times New Roman"/>
                <w:b/>
                <w:bCs/>
                <w:color w:val="000000"/>
                <w:sz w:val="20"/>
                <w:szCs w:val="20"/>
                <w:lang w:eastAsia="hr-HR"/>
              </w:rPr>
            </w:pPr>
            <w:r>
              <w:rPr>
                <w:rFonts w:eastAsia="Times New Roman"/>
                <w:b/>
                <w:bCs/>
                <w:color w:val="000000"/>
                <w:sz w:val="20"/>
                <w:szCs w:val="20"/>
                <w:lang w:eastAsia="hr-HR"/>
              </w:rPr>
              <w:t>19.908.421,26</w:t>
            </w:r>
          </w:p>
        </w:tc>
      </w:tr>
      <w:tr w:rsidR="005B0C27" w:rsidRPr="00233455" w14:paraId="3BF88526" w14:textId="77777777" w:rsidTr="005B0C27">
        <w:trPr>
          <w:trHeight w:val="684"/>
        </w:trPr>
        <w:tc>
          <w:tcPr>
            <w:tcW w:w="1066" w:type="dxa"/>
            <w:vMerge/>
            <w:tcBorders>
              <w:top w:val="nil"/>
              <w:left w:val="single" w:sz="8" w:space="0" w:color="auto"/>
              <w:bottom w:val="single" w:sz="8" w:space="0" w:color="auto"/>
              <w:right w:val="single" w:sz="8" w:space="0" w:color="auto"/>
            </w:tcBorders>
            <w:vAlign w:val="center"/>
            <w:hideMark/>
          </w:tcPr>
          <w:p w14:paraId="2013D6AE"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715" w:type="dxa"/>
            <w:vMerge/>
            <w:tcBorders>
              <w:top w:val="nil"/>
              <w:left w:val="single" w:sz="8" w:space="0" w:color="auto"/>
              <w:bottom w:val="single" w:sz="8" w:space="0" w:color="auto"/>
              <w:right w:val="single" w:sz="8" w:space="0" w:color="auto"/>
            </w:tcBorders>
            <w:vAlign w:val="center"/>
            <w:hideMark/>
          </w:tcPr>
          <w:p w14:paraId="341F9147"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680" w:type="dxa"/>
            <w:vMerge/>
            <w:tcBorders>
              <w:top w:val="nil"/>
              <w:left w:val="single" w:sz="8" w:space="0" w:color="auto"/>
              <w:bottom w:val="single" w:sz="8" w:space="0" w:color="auto"/>
              <w:right w:val="single" w:sz="8" w:space="0" w:color="auto"/>
            </w:tcBorders>
            <w:vAlign w:val="center"/>
            <w:hideMark/>
          </w:tcPr>
          <w:p w14:paraId="3A150FE2" w14:textId="77777777" w:rsidR="00B26B98" w:rsidRPr="001D6A5E" w:rsidRDefault="00B26B98" w:rsidP="00281314">
            <w:pPr>
              <w:spacing w:after="0" w:line="240" w:lineRule="auto"/>
              <w:jc w:val="left"/>
              <w:rPr>
                <w:rFonts w:eastAsia="Times New Roman"/>
                <w:b/>
                <w:bCs/>
                <w:color w:val="000000"/>
                <w:sz w:val="20"/>
                <w:szCs w:val="20"/>
                <w:highlight w:val="yellow"/>
                <w:lang w:eastAsia="hr-HR"/>
              </w:rPr>
            </w:pPr>
          </w:p>
        </w:tc>
        <w:tc>
          <w:tcPr>
            <w:tcW w:w="1262" w:type="dxa"/>
            <w:vMerge/>
            <w:tcBorders>
              <w:top w:val="nil"/>
              <w:left w:val="single" w:sz="8" w:space="0" w:color="auto"/>
              <w:bottom w:val="single" w:sz="8" w:space="0" w:color="auto"/>
              <w:right w:val="single" w:sz="8" w:space="0" w:color="auto"/>
            </w:tcBorders>
            <w:vAlign w:val="center"/>
            <w:hideMark/>
          </w:tcPr>
          <w:p w14:paraId="550F28B1"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357" w:type="dxa"/>
            <w:tcBorders>
              <w:top w:val="nil"/>
              <w:left w:val="nil"/>
              <w:bottom w:val="single" w:sz="8" w:space="0" w:color="auto"/>
              <w:right w:val="single" w:sz="8" w:space="0" w:color="auto"/>
            </w:tcBorders>
            <w:shd w:val="clear" w:color="000000" w:fill="F2F2F2"/>
            <w:vAlign w:val="center"/>
            <w:hideMark/>
          </w:tcPr>
          <w:p w14:paraId="4198F51A" w14:textId="77777777"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OT</w:t>
            </w:r>
          </w:p>
        </w:tc>
        <w:tc>
          <w:tcPr>
            <w:tcW w:w="2710" w:type="dxa"/>
            <w:tcBorders>
              <w:top w:val="nil"/>
              <w:left w:val="nil"/>
              <w:bottom w:val="single" w:sz="8" w:space="0" w:color="auto"/>
              <w:right w:val="single" w:sz="8" w:space="0" w:color="auto"/>
            </w:tcBorders>
            <w:shd w:val="clear" w:color="000000" w:fill="F2F2F2"/>
            <w:vAlign w:val="center"/>
            <w:hideMark/>
          </w:tcPr>
          <w:p w14:paraId="23FFC861" w14:textId="77777777" w:rsidR="00B26B98" w:rsidRPr="00233455" w:rsidRDefault="00B26B98" w:rsidP="00281314">
            <w:pPr>
              <w:spacing w:after="0" w:line="240" w:lineRule="auto"/>
              <w:jc w:val="left"/>
              <w:rPr>
                <w:rFonts w:eastAsia="Times New Roman"/>
                <w:color w:val="000000"/>
                <w:sz w:val="20"/>
                <w:szCs w:val="20"/>
                <w:lang w:eastAsia="hr-HR"/>
              </w:rPr>
            </w:pPr>
            <w:r w:rsidRPr="00233455">
              <w:rPr>
                <w:rFonts w:eastAsia="Times New Roman"/>
                <w:color w:val="000000"/>
                <w:sz w:val="20"/>
                <w:szCs w:val="20"/>
                <w:lang w:eastAsia="hr-HR"/>
              </w:rPr>
              <w:t>Smanjenje emisija stakleničkih plinova u sektoru gospodarenja otpadom</w:t>
            </w:r>
          </w:p>
        </w:tc>
        <w:tc>
          <w:tcPr>
            <w:tcW w:w="1809" w:type="dxa"/>
            <w:vMerge/>
            <w:tcBorders>
              <w:top w:val="nil"/>
              <w:left w:val="single" w:sz="8" w:space="0" w:color="auto"/>
              <w:bottom w:val="single" w:sz="8" w:space="0" w:color="000000"/>
              <w:right w:val="single" w:sz="8" w:space="0" w:color="auto"/>
            </w:tcBorders>
            <w:vAlign w:val="center"/>
            <w:hideMark/>
          </w:tcPr>
          <w:p w14:paraId="26B6F43A"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116" w:type="dxa"/>
            <w:vMerge/>
            <w:tcBorders>
              <w:top w:val="nil"/>
              <w:left w:val="single" w:sz="8" w:space="0" w:color="auto"/>
              <w:bottom w:val="single" w:sz="8" w:space="0" w:color="000000"/>
              <w:right w:val="single" w:sz="8" w:space="0" w:color="auto"/>
            </w:tcBorders>
            <w:vAlign w:val="center"/>
            <w:hideMark/>
          </w:tcPr>
          <w:p w14:paraId="53C41762"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2443" w:type="dxa"/>
            <w:tcBorders>
              <w:top w:val="nil"/>
              <w:left w:val="nil"/>
              <w:bottom w:val="single" w:sz="8" w:space="0" w:color="auto"/>
              <w:right w:val="single" w:sz="8" w:space="0" w:color="auto"/>
            </w:tcBorders>
            <w:shd w:val="clear" w:color="000000" w:fill="F2F2F2"/>
            <w:vAlign w:val="center"/>
            <w:hideMark/>
          </w:tcPr>
          <w:p w14:paraId="24C1DAED" w14:textId="77777777" w:rsidR="00B26B98" w:rsidRPr="00233455" w:rsidRDefault="00B26B98" w:rsidP="00281314">
            <w:pPr>
              <w:spacing w:after="0" w:line="240" w:lineRule="auto"/>
              <w:jc w:val="right"/>
              <w:rPr>
                <w:rFonts w:eastAsia="Times New Roman"/>
                <w:b/>
                <w:bCs/>
                <w:color w:val="000000"/>
                <w:sz w:val="20"/>
                <w:szCs w:val="20"/>
                <w:lang w:eastAsia="hr-HR"/>
              </w:rPr>
            </w:pPr>
            <w:r>
              <w:rPr>
                <w:rFonts w:eastAsia="Times New Roman"/>
                <w:b/>
                <w:bCs/>
                <w:color w:val="000000"/>
                <w:sz w:val="20"/>
                <w:szCs w:val="20"/>
                <w:lang w:eastAsia="hr-HR"/>
              </w:rPr>
              <w:t>33.197.265,51</w:t>
            </w:r>
          </w:p>
        </w:tc>
      </w:tr>
      <w:tr w:rsidR="005B0C27" w:rsidRPr="00233455" w14:paraId="63216397" w14:textId="77777777" w:rsidTr="005B0C27">
        <w:trPr>
          <w:trHeight w:val="330"/>
        </w:trPr>
        <w:tc>
          <w:tcPr>
            <w:tcW w:w="1066" w:type="dxa"/>
            <w:vMerge w:val="restart"/>
            <w:tcBorders>
              <w:top w:val="nil"/>
              <w:left w:val="single" w:sz="8" w:space="0" w:color="auto"/>
              <w:bottom w:val="single" w:sz="8" w:space="0" w:color="auto"/>
              <w:right w:val="single" w:sz="8" w:space="0" w:color="auto"/>
            </w:tcBorders>
            <w:shd w:val="clear" w:color="000000" w:fill="F2F2F2"/>
            <w:vAlign w:val="center"/>
            <w:hideMark/>
          </w:tcPr>
          <w:p w14:paraId="4818CE7B" w14:textId="77777777"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PKP</w:t>
            </w:r>
          </w:p>
        </w:tc>
        <w:tc>
          <w:tcPr>
            <w:tcW w:w="1715" w:type="dxa"/>
            <w:vMerge w:val="restart"/>
            <w:tcBorders>
              <w:top w:val="nil"/>
              <w:left w:val="single" w:sz="8" w:space="0" w:color="auto"/>
              <w:bottom w:val="single" w:sz="8" w:space="0" w:color="auto"/>
              <w:right w:val="single" w:sz="8" w:space="0" w:color="auto"/>
            </w:tcBorders>
            <w:shd w:val="clear" w:color="000000" w:fill="F2F2F2"/>
            <w:vAlign w:val="center"/>
            <w:hideMark/>
          </w:tcPr>
          <w:p w14:paraId="7AB6300D" w14:textId="77777777" w:rsidR="00B26B98" w:rsidRPr="00233455" w:rsidRDefault="00B26B98" w:rsidP="00281314">
            <w:pPr>
              <w:spacing w:after="0" w:line="240" w:lineRule="auto"/>
              <w:jc w:val="left"/>
              <w:rPr>
                <w:rFonts w:eastAsia="Times New Roman"/>
                <w:b/>
                <w:bCs/>
                <w:color w:val="000000"/>
                <w:sz w:val="20"/>
                <w:szCs w:val="20"/>
                <w:lang w:eastAsia="hr-HR"/>
              </w:rPr>
            </w:pPr>
            <w:r w:rsidRPr="00233455">
              <w:rPr>
                <w:rFonts w:eastAsia="Times New Roman"/>
                <w:b/>
                <w:bCs/>
                <w:color w:val="000000"/>
                <w:sz w:val="20"/>
                <w:szCs w:val="20"/>
                <w:lang w:eastAsia="hr-HR"/>
              </w:rPr>
              <w:t>Prilagodba klimatskim promjenama</w:t>
            </w:r>
          </w:p>
        </w:tc>
        <w:tc>
          <w:tcPr>
            <w:tcW w:w="1680" w:type="dxa"/>
            <w:vMerge w:val="restart"/>
            <w:tcBorders>
              <w:top w:val="nil"/>
              <w:left w:val="single" w:sz="8" w:space="0" w:color="auto"/>
              <w:bottom w:val="single" w:sz="8" w:space="0" w:color="auto"/>
              <w:right w:val="single" w:sz="8" w:space="0" w:color="auto"/>
            </w:tcBorders>
            <w:shd w:val="clear" w:color="000000" w:fill="F2F2F2"/>
            <w:vAlign w:val="center"/>
            <w:hideMark/>
          </w:tcPr>
          <w:p w14:paraId="3A5E6E17" w14:textId="77777777" w:rsidR="00B26B98" w:rsidRPr="001D6A5E" w:rsidRDefault="00B26B98" w:rsidP="00281314">
            <w:pPr>
              <w:spacing w:after="0" w:line="240" w:lineRule="auto"/>
              <w:jc w:val="right"/>
              <w:rPr>
                <w:rFonts w:eastAsia="Times New Roman"/>
                <w:b/>
                <w:bCs/>
                <w:color w:val="000000"/>
                <w:sz w:val="20"/>
                <w:szCs w:val="20"/>
                <w:highlight w:val="yellow"/>
                <w:lang w:eastAsia="hr-HR"/>
              </w:rPr>
            </w:pPr>
            <w:r w:rsidRPr="00991251">
              <w:rPr>
                <w:rFonts w:eastAsia="Times New Roman"/>
                <w:b/>
                <w:bCs/>
                <w:color w:val="000000"/>
                <w:sz w:val="20"/>
                <w:szCs w:val="20"/>
                <w:lang w:eastAsia="hr-HR"/>
              </w:rPr>
              <w:t>94.326.585,57</w:t>
            </w:r>
          </w:p>
        </w:tc>
        <w:tc>
          <w:tcPr>
            <w:tcW w:w="1262" w:type="dxa"/>
            <w:vMerge w:val="restart"/>
            <w:tcBorders>
              <w:top w:val="nil"/>
              <w:left w:val="single" w:sz="8" w:space="0" w:color="auto"/>
              <w:bottom w:val="single" w:sz="8" w:space="0" w:color="auto"/>
              <w:right w:val="single" w:sz="8" w:space="0" w:color="auto"/>
            </w:tcBorders>
            <w:shd w:val="clear" w:color="000000" w:fill="F2F2F2"/>
            <w:vAlign w:val="center"/>
            <w:hideMark/>
          </w:tcPr>
          <w:p w14:paraId="53B23C80" w14:textId="3D0352A6"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24,46</w:t>
            </w:r>
            <w:r w:rsidR="00D42903">
              <w:rPr>
                <w:rFonts w:eastAsia="Times New Roman"/>
                <w:b/>
                <w:bCs/>
                <w:color w:val="000000"/>
                <w:sz w:val="20"/>
                <w:szCs w:val="20"/>
                <w:lang w:eastAsia="hr-HR"/>
              </w:rPr>
              <w:t xml:space="preserve"> %</w:t>
            </w:r>
          </w:p>
        </w:tc>
        <w:tc>
          <w:tcPr>
            <w:tcW w:w="1357" w:type="dxa"/>
            <w:tcBorders>
              <w:top w:val="nil"/>
              <w:left w:val="nil"/>
              <w:bottom w:val="single" w:sz="4" w:space="0" w:color="auto"/>
              <w:right w:val="single" w:sz="8" w:space="0" w:color="auto"/>
            </w:tcBorders>
            <w:shd w:val="clear" w:color="000000" w:fill="F2F2F2"/>
            <w:vAlign w:val="center"/>
            <w:hideMark/>
          </w:tcPr>
          <w:p w14:paraId="77C7D3A9" w14:textId="77777777"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CK</w:t>
            </w:r>
          </w:p>
        </w:tc>
        <w:tc>
          <w:tcPr>
            <w:tcW w:w="2710" w:type="dxa"/>
            <w:tcBorders>
              <w:top w:val="nil"/>
              <w:left w:val="nil"/>
              <w:bottom w:val="single" w:sz="4" w:space="0" w:color="auto"/>
              <w:right w:val="single" w:sz="8" w:space="0" w:color="auto"/>
            </w:tcBorders>
            <w:shd w:val="clear" w:color="000000" w:fill="F2F2F2"/>
            <w:vAlign w:val="center"/>
            <w:hideMark/>
          </w:tcPr>
          <w:p w14:paraId="48100071" w14:textId="77777777" w:rsidR="00B26B98" w:rsidRPr="00233455" w:rsidRDefault="00B26B98" w:rsidP="00281314">
            <w:pPr>
              <w:spacing w:after="0" w:line="240" w:lineRule="auto"/>
              <w:jc w:val="left"/>
              <w:rPr>
                <w:rFonts w:eastAsia="Times New Roman"/>
                <w:color w:val="000000"/>
                <w:sz w:val="20"/>
                <w:szCs w:val="20"/>
                <w:lang w:eastAsia="hr-HR"/>
              </w:rPr>
            </w:pPr>
            <w:r w:rsidRPr="00233455">
              <w:rPr>
                <w:rFonts w:eastAsia="Times New Roman"/>
                <w:color w:val="000000"/>
                <w:sz w:val="20"/>
                <w:szCs w:val="20"/>
                <w:lang w:eastAsia="hr-HR"/>
              </w:rPr>
              <w:t>Centar za klimu</w:t>
            </w:r>
          </w:p>
        </w:tc>
        <w:tc>
          <w:tcPr>
            <w:tcW w:w="1809"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28EDC73E" w14:textId="77777777" w:rsidR="00B26B98" w:rsidRPr="00233455" w:rsidRDefault="00B26B98" w:rsidP="00281314">
            <w:pPr>
              <w:spacing w:after="0" w:line="240" w:lineRule="auto"/>
              <w:jc w:val="right"/>
              <w:rPr>
                <w:rFonts w:eastAsia="Times New Roman"/>
                <w:b/>
                <w:bCs/>
                <w:color w:val="000000"/>
                <w:sz w:val="20"/>
                <w:szCs w:val="20"/>
                <w:lang w:eastAsia="hr-HR"/>
              </w:rPr>
            </w:pPr>
            <w:r>
              <w:rPr>
                <w:rFonts w:eastAsia="Times New Roman"/>
                <w:b/>
                <w:bCs/>
                <w:color w:val="000000"/>
                <w:sz w:val="20"/>
                <w:szCs w:val="20"/>
                <w:lang w:eastAsia="hr-HR"/>
              </w:rPr>
              <w:t>94.326.585,57</w:t>
            </w:r>
          </w:p>
        </w:tc>
        <w:tc>
          <w:tcPr>
            <w:tcW w:w="1116"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45016758" w14:textId="7515A9FA"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15,20</w:t>
            </w:r>
            <w:r w:rsidR="00D42903">
              <w:rPr>
                <w:rFonts w:eastAsia="Times New Roman"/>
                <w:b/>
                <w:bCs/>
                <w:color w:val="000000"/>
                <w:sz w:val="20"/>
                <w:szCs w:val="20"/>
                <w:lang w:eastAsia="hr-HR"/>
              </w:rPr>
              <w:t xml:space="preserve"> </w:t>
            </w:r>
            <w:r w:rsidRPr="00233455">
              <w:rPr>
                <w:rFonts w:eastAsia="Times New Roman"/>
                <w:b/>
                <w:bCs/>
                <w:color w:val="000000"/>
                <w:sz w:val="20"/>
                <w:szCs w:val="20"/>
                <w:lang w:eastAsia="hr-HR"/>
              </w:rPr>
              <w:t>%</w:t>
            </w:r>
          </w:p>
        </w:tc>
        <w:tc>
          <w:tcPr>
            <w:tcW w:w="2443" w:type="dxa"/>
            <w:tcBorders>
              <w:top w:val="nil"/>
              <w:left w:val="nil"/>
              <w:bottom w:val="single" w:sz="4" w:space="0" w:color="auto"/>
              <w:right w:val="single" w:sz="8" w:space="0" w:color="auto"/>
            </w:tcBorders>
            <w:shd w:val="clear" w:color="000000" w:fill="F2F2F2"/>
            <w:vAlign w:val="center"/>
            <w:hideMark/>
          </w:tcPr>
          <w:p w14:paraId="61E6824B" w14:textId="77777777" w:rsidR="00B26B98" w:rsidRPr="00233455" w:rsidRDefault="00B26B98" w:rsidP="00281314">
            <w:pPr>
              <w:spacing w:after="0" w:line="240" w:lineRule="auto"/>
              <w:jc w:val="right"/>
              <w:rPr>
                <w:rFonts w:eastAsia="Times New Roman"/>
                <w:b/>
                <w:bCs/>
                <w:color w:val="000000"/>
                <w:sz w:val="20"/>
                <w:szCs w:val="20"/>
                <w:lang w:eastAsia="hr-HR"/>
              </w:rPr>
            </w:pPr>
            <w:r>
              <w:rPr>
                <w:rFonts w:eastAsia="Times New Roman"/>
                <w:b/>
                <w:bCs/>
                <w:color w:val="000000"/>
                <w:sz w:val="20"/>
                <w:szCs w:val="20"/>
                <w:lang w:eastAsia="hr-HR"/>
              </w:rPr>
              <w:t>15.263.122,97</w:t>
            </w:r>
          </w:p>
        </w:tc>
      </w:tr>
      <w:tr w:rsidR="005B0C27" w:rsidRPr="00233455" w14:paraId="56E04F60" w14:textId="77777777" w:rsidTr="005B0C27">
        <w:trPr>
          <w:trHeight w:val="484"/>
        </w:trPr>
        <w:tc>
          <w:tcPr>
            <w:tcW w:w="1066" w:type="dxa"/>
            <w:vMerge/>
            <w:tcBorders>
              <w:top w:val="nil"/>
              <w:left w:val="single" w:sz="8" w:space="0" w:color="auto"/>
              <w:bottom w:val="single" w:sz="8" w:space="0" w:color="auto"/>
              <w:right w:val="single" w:sz="8" w:space="0" w:color="auto"/>
            </w:tcBorders>
            <w:vAlign w:val="center"/>
            <w:hideMark/>
          </w:tcPr>
          <w:p w14:paraId="12F68AB9"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715" w:type="dxa"/>
            <w:vMerge/>
            <w:tcBorders>
              <w:top w:val="nil"/>
              <w:left w:val="single" w:sz="8" w:space="0" w:color="auto"/>
              <w:bottom w:val="single" w:sz="8" w:space="0" w:color="auto"/>
              <w:right w:val="single" w:sz="8" w:space="0" w:color="auto"/>
            </w:tcBorders>
            <w:vAlign w:val="center"/>
            <w:hideMark/>
          </w:tcPr>
          <w:p w14:paraId="1734A025"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680" w:type="dxa"/>
            <w:vMerge/>
            <w:tcBorders>
              <w:top w:val="nil"/>
              <w:left w:val="single" w:sz="8" w:space="0" w:color="auto"/>
              <w:bottom w:val="single" w:sz="8" w:space="0" w:color="auto"/>
              <w:right w:val="single" w:sz="8" w:space="0" w:color="auto"/>
            </w:tcBorders>
            <w:vAlign w:val="center"/>
            <w:hideMark/>
          </w:tcPr>
          <w:p w14:paraId="58F0631D" w14:textId="77777777" w:rsidR="00B26B98" w:rsidRPr="001D6A5E" w:rsidRDefault="00B26B98" w:rsidP="00281314">
            <w:pPr>
              <w:spacing w:after="0" w:line="240" w:lineRule="auto"/>
              <w:jc w:val="left"/>
              <w:rPr>
                <w:rFonts w:eastAsia="Times New Roman"/>
                <w:b/>
                <w:bCs/>
                <w:color w:val="000000"/>
                <w:sz w:val="20"/>
                <w:szCs w:val="20"/>
                <w:highlight w:val="yellow"/>
                <w:lang w:eastAsia="hr-HR"/>
              </w:rPr>
            </w:pPr>
          </w:p>
        </w:tc>
        <w:tc>
          <w:tcPr>
            <w:tcW w:w="1262" w:type="dxa"/>
            <w:vMerge/>
            <w:tcBorders>
              <w:top w:val="nil"/>
              <w:left w:val="single" w:sz="8" w:space="0" w:color="auto"/>
              <w:bottom w:val="single" w:sz="8" w:space="0" w:color="auto"/>
              <w:right w:val="single" w:sz="8" w:space="0" w:color="auto"/>
            </w:tcBorders>
            <w:vAlign w:val="center"/>
            <w:hideMark/>
          </w:tcPr>
          <w:p w14:paraId="191727CE"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357" w:type="dxa"/>
            <w:tcBorders>
              <w:top w:val="nil"/>
              <w:left w:val="nil"/>
              <w:bottom w:val="single" w:sz="4" w:space="0" w:color="auto"/>
              <w:right w:val="single" w:sz="8" w:space="0" w:color="auto"/>
            </w:tcBorders>
            <w:shd w:val="clear" w:color="000000" w:fill="F2F2F2"/>
            <w:vAlign w:val="center"/>
            <w:hideMark/>
          </w:tcPr>
          <w:p w14:paraId="285EBC44" w14:textId="77777777"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SPKP</w:t>
            </w:r>
          </w:p>
        </w:tc>
        <w:tc>
          <w:tcPr>
            <w:tcW w:w="2710" w:type="dxa"/>
            <w:tcBorders>
              <w:top w:val="nil"/>
              <w:left w:val="nil"/>
              <w:bottom w:val="single" w:sz="4" w:space="0" w:color="auto"/>
              <w:right w:val="single" w:sz="8" w:space="0" w:color="auto"/>
            </w:tcBorders>
            <w:shd w:val="clear" w:color="000000" w:fill="F2F2F2"/>
            <w:vAlign w:val="center"/>
            <w:hideMark/>
          </w:tcPr>
          <w:p w14:paraId="5569398B" w14:textId="77777777" w:rsidR="00B26B98" w:rsidRPr="00233455" w:rsidRDefault="00B26B98" w:rsidP="00281314">
            <w:pPr>
              <w:spacing w:after="0" w:line="240" w:lineRule="auto"/>
              <w:jc w:val="left"/>
              <w:rPr>
                <w:rFonts w:eastAsia="Times New Roman"/>
                <w:color w:val="000000"/>
                <w:sz w:val="20"/>
                <w:szCs w:val="20"/>
                <w:lang w:eastAsia="hr-HR"/>
              </w:rPr>
            </w:pPr>
            <w:r w:rsidRPr="00233455">
              <w:rPr>
                <w:rFonts w:eastAsia="Times New Roman"/>
                <w:color w:val="000000"/>
                <w:sz w:val="20"/>
                <w:szCs w:val="20"/>
                <w:lang w:eastAsia="hr-HR"/>
              </w:rPr>
              <w:t>Strategija prilagodbe klimatskim promjenama</w:t>
            </w:r>
          </w:p>
        </w:tc>
        <w:tc>
          <w:tcPr>
            <w:tcW w:w="1809" w:type="dxa"/>
            <w:vMerge/>
            <w:tcBorders>
              <w:top w:val="nil"/>
              <w:left w:val="single" w:sz="8" w:space="0" w:color="auto"/>
              <w:bottom w:val="single" w:sz="8" w:space="0" w:color="000000"/>
              <w:right w:val="single" w:sz="8" w:space="0" w:color="auto"/>
            </w:tcBorders>
            <w:vAlign w:val="center"/>
            <w:hideMark/>
          </w:tcPr>
          <w:p w14:paraId="40D17638"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116" w:type="dxa"/>
            <w:vMerge/>
            <w:tcBorders>
              <w:top w:val="nil"/>
              <w:left w:val="single" w:sz="8" w:space="0" w:color="auto"/>
              <w:bottom w:val="single" w:sz="8" w:space="0" w:color="000000"/>
              <w:right w:val="single" w:sz="8" w:space="0" w:color="auto"/>
            </w:tcBorders>
            <w:vAlign w:val="center"/>
            <w:hideMark/>
          </w:tcPr>
          <w:p w14:paraId="3EB10B53"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2443" w:type="dxa"/>
            <w:tcBorders>
              <w:top w:val="nil"/>
              <w:left w:val="nil"/>
              <w:bottom w:val="single" w:sz="4" w:space="0" w:color="auto"/>
              <w:right w:val="single" w:sz="8" w:space="0" w:color="auto"/>
            </w:tcBorders>
            <w:shd w:val="clear" w:color="000000" w:fill="F2F2F2"/>
            <w:vAlign w:val="center"/>
            <w:hideMark/>
          </w:tcPr>
          <w:p w14:paraId="290C45D9" w14:textId="77777777" w:rsidR="00B26B98" w:rsidRPr="00233455" w:rsidRDefault="00B26B98" w:rsidP="00281314">
            <w:pPr>
              <w:spacing w:after="0" w:line="240" w:lineRule="auto"/>
              <w:jc w:val="right"/>
              <w:rPr>
                <w:rFonts w:eastAsia="Times New Roman"/>
                <w:b/>
                <w:bCs/>
                <w:color w:val="000000"/>
                <w:sz w:val="20"/>
                <w:szCs w:val="20"/>
                <w:lang w:eastAsia="hr-HR"/>
              </w:rPr>
            </w:pPr>
            <w:r>
              <w:rPr>
                <w:rFonts w:eastAsia="Times New Roman"/>
                <w:b/>
                <w:bCs/>
                <w:color w:val="000000"/>
                <w:sz w:val="20"/>
                <w:szCs w:val="20"/>
                <w:lang w:eastAsia="hr-HR"/>
              </w:rPr>
              <w:t>60.482.269,42</w:t>
            </w:r>
          </w:p>
        </w:tc>
      </w:tr>
      <w:tr w:rsidR="005B0C27" w:rsidRPr="00233455" w14:paraId="724A6265" w14:textId="77777777" w:rsidTr="005B0C27">
        <w:trPr>
          <w:trHeight w:val="405"/>
        </w:trPr>
        <w:tc>
          <w:tcPr>
            <w:tcW w:w="1066" w:type="dxa"/>
            <w:vMerge/>
            <w:tcBorders>
              <w:top w:val="nil"/>
              <w:left w:val="single" w:sz="8" w:space="0" w:color="auto"/>
              <w:bottom w:val="single" w:sz="8" w:space="0" w:color="auto"/>
              <w:right w:val="single" w:sz="8" w:space="0" w:color="auto"/>
            </w:tcBorders>
            <w:vAlign w:val="center"/>
            <w:hideMark/>
          </w:tcPr>
          <w:p w14:paraId="765202E5"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715" w:type="dxa"/>
            <w:vMerge/>
            <w:tcBorders>
              <w:top w:val="nil"/>
              <w:left w:val="single" w:sz="8" w:space="0" w:color="auto"/>
              <w:bottom w:val="single" w:sz="8" w:space="0" w:color="auto"/>
              <w:right w:val="single" w:sz="8" w:space="0" w:color="auto"/>
            </w:tcBorders>
            <w:vAlign w:val="center"/>
            <w:hideMark/>
          </w:tcPr>
          <w:p w14:paraId="4345F00C"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680" w:type="dxa"/>
            <w:vMerge/>
            <w:tcBorders>
              <w:top w:val="nil"/>
              <w:left w:val="single" w:sz="8" w:space="0" w:color="auto"/>
              <w:bottom w:val="single" w:sz="8" w:space="0" w:color="auto"/>
              <w:right w:val="single" w:sz="8" w:space="0" w:color="auto"/>
            </w:tcBorders>
            <w:vAlign w:val="center"/>
            <w:hideMark/>
          </w:tcPr>
          <w:p w14:paraId="6D16C2B7" w14:textId="77777777" w:rsidR="00B26B98" w:rsidRPr="001D6A5E" w:rsidRDefault="00B26B98" w:rsidP="00281314">
            <w:pPr>
              <w:spacing w:after="0" w:line="240" w:lineRule="auto"/>
              <w:jc w:val="left"/>
              <w:rPr>
                <w:rFonts w:eastAsia="Times New Roman"/>
                <w:b/>
                <w:bCs/>
                <w:color w:val="000000"/>
                <w:sz w:val="20"/>
                <w:szCs w:val="20"/>
                <w:highlight w:val="yellow"/>
                <w:lang w:eastAsia="hr-HR"/>
              </w:rPr>
            </w:pPr>
          </w:p>
        </w:tc>
        <w:tc>
          <w:tcPr>
            <w:tcW w:w="1262" w:type="dxa"/>
            <w:vMerge/>
            <w:tcBorders>
              <w:top w:val="nil"/>
              <w:left w:val="single" w:sz="8" w:space="0" w:color="auto"/>
              <w:bottom w:val="single" w:sz="8" w:space="0" w:color="auto"/>
              <w:right w:val="single" w:sz="8" w:space="0" w:color="auto"/>
            </w:tcBorders>
            <w:vAlign w:val="center"/>
            <w:hideMark/>
          </w:tcPr>
          <w:p w14:paraId="1D38D5D4"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357" w:type="dxa"/>
            <w:tcBorders>
              <w:top w:val="nil"/>
              <w:left w:val="nil"/>
              <w:bottom w:val="single" w:sz="8" w:space="0" w:color="auto"/>
              <w:right w:val="single" w:sz="8" w:space="0" w:color="auto"/>
            </w:tcBorders>
            <w:shd w:val="clear" w:color="000000" w:fill="F2F2F2"/>
            <w:vAlign w:val="center"/>
            <w:hideMark/>
          </w:tcPr>
          <w:p w14:paraId="286FD67F" w14:textId="77777777"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BIO</w:t>
            </w:r>
          </w:p>
        </w:tc>
        <w:tc>
          <w:tcPr>
            <w:tcW w:w="2710" w:type="dxa"/>
            <w:tcBorders>
              <w:top w:val="nil"/>
              <w:left w:val="nil"/>
              <w:bottom w:val="single" w:sz="8" w:space="0" w:color="auto"/>
              <w:right w:val="single" w:sz="8" w:space="0" w:color="auto"/>
            </w:tcBorders>
            <w:shd w:val="clear" w:color="000000" w:fill="F2F2F2"/>
            <w:vAlign w:val="center"/>
            <w:hideMark/>
          </w:tcPr>
          <w:p w14:paraId="65848D9E" w14:textId="77777777" w:rsidR="00B26B98" w:rsidRPr="00233455" w:rsidRDefault="00B26B98" w:rsidP="00281314">
            <w:pPr>
              <w:spacing w:after="0" w:line="240" w:lineRule="auto"/>
              <w:jc w:val="left"/>
              <w:rPr>
                <w:rFonts w:eastAsia="Times New Roman"/>
                <w:color w:val="000000"/>
                <w:sz w:val="20"/>
                <w:szCs w:val="20"/>
                <w:lang w:eastAsia="hr-HR"/>
              </w:rPr>
            </w:pPr>
            <w:r w:rsidRPr="00233455">
              <w:rPr>
                <w:rFonts w:eastAsia="Times New Roman"/>
                <w:color w:val="000000"/>
                <w:sz w:val="20"/>
                <w:szCs w:val="20"/>
                <w:lang w:eastAsia="hr-HR"/>
              </w:rPr>
              <w:t>Bioraznolikost i usluge ekosustava</w:t>
            </w:r>
          </w:p>
        </w:tc>
        <w:tc>
          <w:tcPr>
            <w:tcW w:w="1809" w:type="dxa"/>
            <w:vMerge/>
            <w:tcBorders>
              <w:top w:val="nil"/>
              <w:left w:val="single" w:sz="8" w:space="0" w:color="auto"/>
              <w:bottom w:val="single" w:sz="8" w:space="0" w:color="000000"/>
              <w:right w:val="single" w:sz="8" w:space="0" w:color="auto"/>
            </w:tcBorders>
            <w:vAlign w:val="center"/>
            <w:hideMark/>
          </w:tcPr>
          <w:p w14:paraId="2939CB2E"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116" w:type="dxa"/>
            <w:vMerge/>
            <w:tcBorders>
              <w:top w:val="nil"/>
              <w:left w:val="single" w:sz="8" w:space="0" w:color="auto"/>
              <w:bottom w:val="single" w:sz="8" w:space="0" w:color="000000"/>
              <w:right w:val="single" w:sz="8" w:space="0" w:color="auto"/>
            </w:tcBorders>
            <w:vAlign w:val="center"/>
            <w:hideMark/>
          </w:tcPr>
          <w:p w14:paraId="293462F4"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2443" w:type="dxa"/>
            <w:tcBorders>
              <w:top w:val="nil"/>
              <w:left w:val="nil"/>
              <w:bottom w:val="single" w:sz="8" w:space="0" w:color="auto"/>
              <w:right w:val="single" w:sz="8" w:space="0" w:color="auto"/>
            </w:tcBorders>
            <w:shd w:val="clear" w:color="000000" w:fill="F2F2F2"/>
            <w:vAlign w:val="center"/>
            <w:hideMark/>
          </w:tcPr>
          <w:p w14:paraId="59C4E9CE" w14:textId="77777777" w:rsidR="00B26B98" w:rsidRPr="00233455" w:rsidRDefault="00B26B98" w:rsidP="00281314">
            <w:pPr>
              <w:spacing w:after="0" w:line="240" w:lineRule="auto"/>
              <w:jc w:val="right"/>
              <w:rPr>
                <w:rFonts w:eastAsia="Times New Roman"/>
                <w:b/>
                <w:bCs/>
                <w:color w:val="000000"/>
                <w:sz w:val="20"/>
                <w:szCs w:val="20"/>
                <w:lang w:eastAsia="hr-HR"/>
              </w:rPr>
            </w:pPr>
            <w:r>
              <w:rPr>
                <w:rFonts w:eastAsia="Times New Roman"/>
                <w:b/>
                <w:bCs/>
                <w:color w:val="000000"/>
                <w:sz w:val="20"/>
                <w:szCs w:val="20"/>
                <w:lang w:eastAsia="hr-HR"/>
              </w:rPr>
              <w:t>18.581.193,18</w:t>
            </w:r>
          </w:p>
        </w:tc>
      </w:tr>
      <w:tr w:rsidR="005B0C27" w:rsidRPr="00233455" w14:paraId="5BC99AD9" w14:textId="77777777" w:rsidTr="005B0C27">
        <w:trPr>
          <w:trHeight w:val="461"/>
        </w:trPr>
        <w:tc>
          <w:tcPr>
            <w:tcW w:w="1066" w:type="dxa"/>
            <w:vMerge w:val="restart"/>
            <w:tcBorders>
              <w:top w:val="nil"/>
              <w:left w:val="single" w:sz="8" w:space="0" w:color="auto"/>
              <w:bottom w:val="single" w:sz="8" w:space="0" w:color="auto"/>
              <w:right w:val="single" w:sz="8" w:space="0" w:color="auto"/>
            </w:tcBorders>
            <w:shd w:val="clear" w:color="000000" w:fill="F2F2F2"/>
            <w:vAlign w:val="center"/>
            <w:hideMark/>
          </w:tcPr>
          <w:p w14:paraId="2AAD9F60" w14:textId="77777777"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IR</w:t>
            </w:r>
          </w:p>
        </w:tc>
        <w:tc>
          <w:tcPr>
            <w:tcW w:w="1715" w:type="dxa"/>
            <w:vMerge w:val="restart"/>
            <w:tcBorders>
              <w:top w:val="nil"/>
              <w:left w:val="single" w:sz="8" w:space="0" w:color="auto"/>
              <w:bottom w:val="single" w:sz="8" w:space="0" w:color="auto"/>
              <w:right w:val="single" w:sz="8" w:space="0" w:color="auto"/>
            </w:tcBorders>
            <w:shd w:val="clear" w:color="000000" w:fill="F2F2F2"/>
            <w:vAlign w:val="center"/>
            <w:hideMark/>
          </w:tcPr>
          <w:p w14:paraId="61C7E1E4" w14:textId="77777777" w:rsidR="00B26B98" w:rsidRPr="00233455" w:rsidRDefault="00B26B98" w:rsidP="00281314">
            <w:pPr>
              <w:spacing w:after="0" w:line="240" w:lineRule="auto"/>
              <w:jc w:val="left"/>
              <w:rPr>
                <w:rFonts w:eastAsia="Times New Roman"/>
                <w:b/>
                <w:bCs/>
                <w:color w:val="000000"/>
                <w:sz w:val="20"/>
                <w:szCs w:val="20"/>
                <w:lang w:eastAsia="hr-HR"/>
              </w:rPr>
            </w:pPr>
            <w:r w:rsidRPr="00233455">
              <w:rPr>
                <w:rFonts w:eastAsia="Times New Roman"/>
                <w:b/>
                <w:bCs/>
                <w:color w:val="000000"/>
                <w:sz w:val="20"/>
                <w:szCs w:val="20"/>
                <w:lang w:eastAsia="hr-HR"/>
              </w:rPr>
              <w:t>Istraživanje i razvoj, stručna podrška i projekti s trećim zemljama</w:t>
            </w:r>
          </w:p>
        </w:tc>
        <w:tc>
          <w:tcPr>
            <w:tcW w:w="1680" w:type="dxa"/>
            <w:vMerge w:val="restart"/>
            <w:tcBorders>
              <w:top w:val="nil"/>
              <w:left w:val="single" w:sz="8" w:space="0" w:color="auto"/>
              <w:bottom w:val="single" w:sz="8" w:space="0" w:color="auto"/>
              <w:right w:val="single" w:sz="8" w:space="0" w:color="auto"/>
            </w:tcBorders>
            <w:shd w:val="clear" w:color="000000" w:fill="F2F2F2"/>
            <w:vAlign w:val="center"/>
            <w:hideMark/>
          </w:tcPr>
          <w:p w14:paraId="4C31D4A0" w14:textId="77777777" w:rsidR="00B26B98" w:rsidRPr="001D6A5E" w:rsidRDefault="00B26B98" w:rsidP="00281314">
            <w:pPr>
              <w:spacing w:after="0" w:line="240" w:lineRule="auto"/>
              <w:jc w:val="right"/>
              <w:rPr>
                <w:rFonts w:eastAsia="Times New Roman"/>
                <w:b/>
                <w:bCs/>
                <w:color w:val="000000"/>
                <w:sz w:val="20"/>
                <w:szCs w:val="20"/>
                <w:highlight w:val="yellow"/>
                <w:lang w:eastAsia="hr-HR"/>
              </w:rPr>
            </w:pPr>
            <w:r w:rsidRPr="00991251">
              <w:rPr>
                <w:rFonts w:eastAsia="Times New Roman"/>
                <w:b/>
                <w:bCs/>
                <w:color w:val="000000"/>
                <w:sz w:val="20"/>
                <w:szCs w:val="20"/>
                <w:lang w:eastAsia="hr-HR"/>
              </w:rPr>
              <w:t>13.974.308,9</w:t>
            </w:r>
            <w:r>
              <w:rPr>
                <w:rFonts w:eastAsia="Times New Roman"/>
                <w:b/>
                <w:bCs/>
                <w:color w:val="000000"/>
                <w:sz w:val="20"/>
                <w:szCs w:val="20"/>
                <w:lang w:eastAsia="hr-HR"/>
              </w:rPr>
              <w:t>7</w:t>
            </w:r>
          </w:p>
        </w:tc>
        <w:tc>
          <w:tcPr>
            <w:tcW w:w="1262" w:type="dxa"/>
            <w:vMerge w:val="restart"/>
            <w:tcBorders>
              <w:top w:val="nil"/>
              <w:left w:val="single" w:sz="8" w:space="0" w:color="auto"/>
              <w:bottom w:val="single" w:sz="8" w:space="0" w:color="auto"/>
              <w:right w:val="single" w:sz="8" w:space="0" w:color="auto"/>
            </w:tcBorders>
            <w:shd w:val="clear" w:color="000000" w:fill="F2F2F2"/>
            <w:vAlign w:val="center"/>
            <w:hideMark/>
          </w:tcPr>
          <w:p w14:paraId="2EB6CE13" w14:textId="17BF7130"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3,62</w:t>
            </w:r>
            <w:r w:rsidR="00D42903">
              <w:rPr>
                <w:rFonts w:eastAsia="Times New Roman"/>
                <w:b/>
                <w:bCs/>
                <w:color w:val="000000"/>
                <w:sz w:val="20"/>
                <w:szCs w:val="20"/>
                <w:lang w:eastAsia="hr-HR"/>
              </w:rPr>
              <w:t xml:space="preserve"> %</w:t>
            </w:r>
          </w:p>
        </w:tc>
        <w:tc>
          <w:tcPr>
            <w:tcW w:w="1357" w:type="dxa"/>
            <w:tcBorders>
              <w:top w:val="nil"/>
              <w:left w:val="nil"/>
              <w:bottom w:val="single" w:sz="4" w:space="0" w:color="auto"/>
              <w:right w:val="single" w:sz="8" w:space="0" w:color="auto"/>
            </w:tcBorders>
            <w:shd w:val="clear" w:color="000000" w:fill="F2F2F2"/>
            <w:vAlign w:val="center"/>
            <w:hideMark/>
          </w:tcPr>
          <w:p w14:paraId="360C8179" w14:textId="77777777"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IRSP</w:t>
            </w:r>
          </w:p>
        </w:tc>
        <w:tc>
          <w:tcPr>
            <w:tcW w:w="2710" w:type="dxa"/>
            <w:tcBorders>
              <w:top w:val="nil"/>
              <w:left w:val="nil"/>
              <w:bottom w:val="single" w:sz="4" w:space="0" w:color="auto"/>
              <w:right w:val="single" w:sz="8" w:space="0" w:color="auto"/>
            </w:tcBorders>
            <w:shd w:val="clear" w:color="000000" w:fill="F2F2F2"/>
            <w:vAlign w:val="center"/>
            <w:hideMark/>
          </w:tcPr>
          <w:p w14:paraId="18CFDF3E" w14:textId="77777777" w:rsidR="00B26B98" w:rsidRPr="00233455" w:rsidRDefault="00B26B98" w:rsidP="00281314">
            <w:pPr>
              <w:spacing w:after="0" w:line="240" w:lineRule="auto"/>
              <w:jc w:val="left"/>
              <w:rPr>
                <w:rFonts w:eastAsia="Times New Roman"/>
                <w:color w:val="000000"/>
                <w:sz w:val="20"/>
                <w:szCs w:val="20"/>
                <w:lang w:eastAsia="hr-HR"/>
              </w:rPr>
            </w:pPr>
            <w:r w:rsidRPr="00233455">
              <w:rPr>
                <w:rFonts w:eastAsia="Times New Roman"/>
                <w:color w:val="000000"/>
                <w:sz w:val="20"/>
                <w:szCs w:val="20"/>
                <w:lang w:eastAsia="hr-HR"/>
              </w:rPr>
              <w:t>Istraživanje i razvoj, stručna podrška</w:t>
            </w:r>
          </w:p>
        </w:tc>
        <w:tc>
          <w:tcPr>
            <w:tcW w:w="1809"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79B410A8" w14:textId="77777777" w:rsidR="00B26B98" w:rsidRPr="00233455" w:rsidRDefault="00B26B98" w:rsidP="00281314">
            <w:pPr>
              <w:spacing w:after="0" w:line="240" w:lineRule="auto"/>
              <w:jc w:val="right"/>
              <w:rPr>
                <w:rFonts w:eastAsia="Times New Roman"/>
                <w:b/>
                <w:bCs/>
                <w:color w:val="000000"/>
                <w:sz w:val="20"/>
                <w:szCs w:val="20"/>
                <w:lang w:eastAsia="hr-HR"/>
              </w:rPr>
            </w:pPr>
            <w:r>
              <w:rPr>
                <w:rFonts w:eastAsia="Times New Roman"/>
                <w:b/>
                <w:bCs/>
                <w:color w:val="000000"/>
                <w:sz w:val="20"/>
                <w:szCs w:val="20"/>
                <w:lang w:eastAsia="hr-HR"/>
              </w:rPr>
              <w:t>13.974.308,98</w:t>
            </w:r>
          </w:p>
        </w:tc>
        <w:tc>
          <w:tcPr>
            <w:tcW w:w="1116"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0BEFF3A5" w14:textId="5B26E11E"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2,25</w:t>
            </w:r>
            <w:r w:rsidR="00D42903">
              <w:rPr>
                <w:rFonts w:eastAsia="Times New Roman"/>
                <w:b/>
                <w:bCs/>
                <w:color w:val="000000"/>
                <w:sz w:val="20"/>
                <w:szCs w:val="20"/>
                <w:lang w:eastAsia="hr-HR"/>
              </w:rPr>
              <w:t xml:space="preserve"> </w:t>
            </w:r>
            <w:r w:rsidRPr="00233455">
              <w:rPr>
                <w:rFonts w:eastAsia="Times New Roman"/>
                <w:b/>
                <w:bCs/>
                <w:color w:val="000000"/>
                <w:sz w:val="20"/>
                <w:szCs w:val="20"/>
                <w:lang w:eastAsia="hr-HR"/>
              </w:rPr>
              <w:t>%</w:t>
            </w:r>
          </w:p>
        </w:tc>
        <w:tc>
          <w:tcPr>
            <w:tcW w:w="2443" w:type="dxa"/>
            <w:tcBorders>
              <w:top w:val="nil"/>
              <w:left w:val="nil"/>
              <w:bottom w:val="single" w:sz="4" w:space="0" w:color="auto"/>
              <w:right w:val="single" w:sz="8" w:space="0" w:color="auto"/>
            </w:tcBorders>
            <w:shd w:val="clear" w:color="000000" w:fill="F2F2F2"/>
            <w:vAlign w:val="center"/>
            <w:hideMark/>
          </w:tcPr>
          <w:p w14:paraId="0F62C91A" w14:textId="77777777" w:rsidR="00B26B98" w:rsidRPr="00233455" w:rsidRDefault="00B26B98" w:rsidP="00281314">
            <w:pPr>
              <w:spacing w:after="0" w:line="240" w:lineRule="auto"/>
              <w:jc w:val="right"/>
              <w:rPr>
                <w:rFonts w:eastAsia="Times New Roman"/>
                <w:b/>
                <w:bCs/>
                <w:color w:val="000000"/>
                <w:sz w:val="20"/>
                <w:szCs w:val="20"/>
                <w:lang w:eastAsia="hr-HR"/>
              </w:rPr>
            </w:pPr>
            <w:r>
              <w:rPr>
                <w:rFonts w:eastAsia="Times New Roman"/>
                <w:b/>
                <w:bCs/>
                <w:color w:val="000000"/>
                <w:sz w:val="20"/>
                <w:szCs w:val="20"/>
                <w:lang w:eastAsia="hr-HR"/>
              </w:rPr>
              <w:t>11.054.407,19</w:t>
            </w:r>
          </w:p>
        </w:tc>
      </w:tr>
      <w:tr w:rsidR="005B0C27" w:rsidRPr="00233455" w14:paraId="1AC3AAC1" w14:textId="77777777" w:rsidTr="005B0C27">
        <w:trPr>
          <w:trHeight w:val="540"/>
        </w:trPr>
        <w:tc>
          <w:tcPr>
            <w:tcW w:w="1066" w:type="dxa"/>
            <w:vMerge/>
            <w:tcBorders>
              <w:top w:val="nil"/>
              <w:left w:val="single" w:sz="8" w:space="0" w:color="auto"/>
              <w:bottom w:val="single" w:sz="8" w:space="0" w:color="auto"/>
              <w:right w:val="single" w:sz="8" w:space="0" w:color="auto"/>
            </w:tcBorders>
            <w:vAlign w:val="center"/>
            <w:hideMark/>
          </w:tcPr>
          <w:p w14:paraId="60465DB5"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715" w:type="dxa"/>
            <w:vMerge/>
            <w:tcBorders>
              <w:top w:val="nil"/>
              <w:left w:val="single" w:sz="8" w:space="0" w:color="auto"/>
              <w:bottom w:val="single" w:sz="8" w:space="0" w:color="auto"/>
              <w:right w:val="single" w:sz="8" w:space="0" w:color="auto"/>
            </w:tcBorders>
            <w:vAlign w:val="center"/>
            <w:hideMark/>
          </w:tcPr>
          <w:p w14:paraId="0685D1A8"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680" w:type="dxa"/>
            <w:vMerge/>
            <w:tcBorders>
              <w:top w:val="nil"/>
              <w:left w:val="single" w:sz="8" w:space="0" w:color="auto"/>
              <w:bottom w:val="single" w:sz="8" w:space="0" w:color="auto"/>
              <w:right w:val="single" w:sz="8" w:space="0" w:color="auto"/>
            </w:tcBorders>
            <w:vAlign w:val="center"/>
            <w:hideMark/>
          </w:tcPr>
          <w:p w14:paraId="56C8D8E5" w14:textId="77777777" w:rsidR="00B26B98" w:rsidRPr="001D6A5E" w:rsidRDefault="00B26B98" w:rsidP="00281314">
            <w:pPr>
              <w:spacing w:after="0" w:line="240" w:lineRule="auto"/>
              <w:jc w:val="left"/>
              <w:rPr>
                <w:rFonts w:eastAsia="Times New Roman"/>
                <w:b/>
                <w:bCs/>
                <w:color w:val="000000"/>
                <w:sz w:val="20"/>
                <w:szCs w:val="20"/>
                <w:highlight w:val="yellow"/>
                <w:lang w:eastAsia="hr-HR"/>
              </w:rPr>
            </w:pPr>
          </w:p>
        </w:tc>
        <w:tc>
          <w:tcPr>
            <w:tcW w:w="1262" w:type="dxa"/>
            <w:vMerge/>
            <w:tcBorders>
              <w:top w:val="nil"/>
              <w:left w:val="single" w:sz="8" w:space="0" w:color="auto"/>
              <w:bottom w:val="single" w:sz="8" w:space="0" w:color="auto"/>
              <w:right w:val="single" w:sz="8" w:space="0" w:color="auto"/>
            </w:tcBorders>
            <w:vAlign w:val="center"/>
            <w:hideMark/>
          </w:tcPr>
          <w:p w14:paraId="7235B23D"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357" w:type="dxa"/>
            <w:tcBorders>
              <w:top w:val="nil"/>
              <w:left w:val="nil"/>
              <w:bottom w:val="single" w:sz="8" w:space="0" w:color="auto"/>
              <w:right w:val="single" w:sz="8" w:space="0" w:color="auto"/>
            </w:tcBorders>
            <w:shd w:val="clear" w:color="000000" w:fill="F2F2F2"/>
            <w:vAlign w:val="center"/>
            <w:hideMark/>
          </w:tcPr>
          <w:p w14:paraId="1103C154" w14:textId="77777777"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TZ</w:t>
            </w:r>
          </w:p>
        </w:tc>
        <w:tc>
          <w:tcPr>
            <w:tcW w:w="2710" w:type="dxa"/>
            <w:tcBorders>
              <w:top w:val="nil"/>
              <w:left w:val="nil"/>
              <w:bottom w:val="single" w:sz="8" w:space="0" w:color="auto"/>
              <w:right w:val="single" w:sz="8" w:space="0" w:color="auto"/>
            </w:tcBorders>
            <w:shd w:val="clear" w:color="000000" w:fill="F2F2F2"/>
            <w:vAlign w:val="center"/>
            <w:hideMark/>
          </w:tcPr>
          <w:p w14:paraId="581C6E09" w14:textId="77777777" w:rsidR="00B26B98" w:rsidRPr="00233455" w:rsidRDefault="00B26B98" w:rsidP="00281314">
            <w:pPr>
              <w:spacing w:after="0" w:line="240" w:lineRule="auto"/>
              <w:jc w:val="left"/>
              <w:rPr>
                <w:rFonts w:eastAsia="Times New Roman"/>
                <w:color w:val="000000"/>
                <w:sz w:val="20"/>
                <w:szCs w:val="20"/>
                <w:lang w:eastAsia="hr-HR"/>
              </w:rPr>
            </w:pPr>
            <w:r w:rsidRPr="00233455">
              <w:rPr>
                <w:rFonts w:eastAsia="Times New Roman"/>
                <w:color w:val="000000"/>
                <w:sz w:val="20"/>
                <w:szCs w:val="20"/>
                <w:lang w:eastAsia="hr-HR"/>
              </w:rPr>
              <w:t>Projekti s trećim zemljama</w:t>
            </w:r>
          </w:p>
        </w:tc>
        <w:tc>
          <w:tcPr>
            <w:tcW w:w="1809" w:type="dxa"/>
            <w:vMerge/>
            <w:tcBorders>
              <w:top w:val="nil"/>
              <w:left w:val="single" w:sz="8" w:space="0" w:color="auto"/>
              <w:bottom w:val="single" w:sz="8" w:space="0" w:color="000000"/>
              <w:right w:val="single" w:sz="8" w:space="0" w:color="auto"/>
            </w:tcBorders>
            <w:vAlign w:val="center"/>
            <w:hideMark/>
          </w:tcPr>
          <w:p w14:paraId="55B623CA"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1116" w:type="dxa"/>
            <w:vMerge/>
            <w:tcBorders>
              <w:top w:val="nil"/>
              <w:left w:val="single" w:sz="8" w:space="0" w:color="auto"/>
              <w:bottom w:val="single" w:sz="8" w:space="0" w:color="000000"/>
              <w:right w:val="single" w:sz="8" w:space="0" w:color="auto"/>
            </w:tcBorders>
            <w:vAlign w:val="center"/>
            <w:hideMark/>
          </w:tcPr>
          <w:p w14:paraId="4787D207" w14:textId="77777777" w:rsidR="00B26B98" w:rsidRPr="00233455" w:rsidRDefault="00B26B98" w:rsidP="00281314">
            <w:pPr>
              <w:spacing w:after="0" w:line="240" w:lineRule="auto"/>
              <w:jc w:val="left"/>
              <w:rPr>
                <w:rFonts w:eastAsia="Times New Roman"/>
                <w:b/>
                <w:bCs/>
                <w:color w:val="000000"/>
                <w:sz w:val="20"/>
                <w:szCs w:val="20"/>
                <w:lang w:eastAsia="hr-HR"/>
              </w:rPr>
            </w:pPr>
          </w:p>
        </w:tc>
        <w:tc>
          <w:tcPr>
            <w:tcW w:w="2443" w:type="dxa"/>
            <w:tcBorders>
              <w:top w:val="nil"/>
              <w:left w:val="nil"/>
              <w:bottom w:val="single" w:sz="8" w:space="0" w:color="auto"/>
              <w:right w:val="single" w:sz="8" w:space="0" w:color="auto"/>
            </w:tcBorders>
            <w:shd w:val="clear" w:color="000000" w:fill="F2F2F2"/>
            <w:vAlign w:val="center"/>
            <w:hideMark/>
          </w:tcPr>
          <w:p w14:paraId="4091219F" w14:textId="77777777" w:rsidR="00B26B98" w:rsidRPr="00233455" w:rsidRDefault="00B26B98" w:rsidP="00281314">
            <w:pPr>
              <w:spacing w:after="0" w:line="240" w:lineRule="auto"/>
              <w:jc w:val="right"/>
              <w:rPr>
                <w:rFonts w:eastAsia="Times New Roman"/>
                <w:b/>
                <w:bCs/>
                <w:color w:val="000000"/>
                <w:sz w:val="20"/>
                <w:szCs w:val="20"/>
                <w:lang w:eastAsia="hr-HR"/>
              </w:rPr>
            </w:pPr>
            <w:r>
              <w:rPr>
                <w:rFonts w:eastAsia="Times New Roman"/>
                <w:b/>
                <w:bCs/>
                <w:color w:val="000000"/>
                <w:sz w:val="20"/>
                <w:szCs w:val="20"/>
                <w:lang w:eastAsia="hr-HR"/>
              </w:rPr>
              <w:t>2.919.901,79</w:t>
            </w:r>
          </w:p>
        </w:tc>
      </w:tr>
      <w:tr w:rsidR="00B26B98" w:rsidRPr="00233455" w14:paraId="0E93598F" w14:textId="77777777" w:rsidTr="00EC2687">
        <w:trPr>
          <w:trHeight w:val="408"/>
        </w:trPr>
        <w:tc>
          <w:tcPr>
            <w:tcW w:w="2781"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F7A675B" w14:textId="77777777" w:rsidR="00B26B98" w:rsidRPr="00233455" w:rsidRDefault="00B26B98" w:rsidP="00281314">
            <w:pPr>
              <w:spacing w:after="0" w:line="240" w:lineRule="auto"/>
              <w:jc w:val="right"/>
              <w:rPr>
                <w:rFonts w:eastAsia="Times New Roman"/>
                <w:b/>
                <w:bCs/>
                <w:color w:val="000000"/>
                <w:sz w:val="20"/>
                <w:szCs w:val="20"/>
                <w:lang w:eastAsia="hr-HR"/>
              </w:rPr>
            </w:pPr>
            <w:r w:rsidRPr="00233455">
              <w:rPr>
                <w:rFonts w:eastAsia="Times New Roman"/>
                <w:b/>
                <w:bCs/>
                <w:color w:val="000000"/>
                <w:sz w:val="20"/>
                <w:szCs w:val="20"/>
                <w:lang w:eastAsia="hr-HR"/>
              </w:rPr>
              <w:t>SVEUKUPNO:</w:t>
            </w:r>
          </w:p>
        </w:tc>
        <w:tc>
          <w:tcPr>
            <w:tcW w:w="1680" w:type="dxa"/>
            <w:tcBorders>
              <w:top w:val="nil"/>
              <w:left w:val="nil"/>
              <w:bottom w:val="single" w:sz="8" w:space="0" w:color="auto"/>
              <w:right w:val="single" w:sz="8" w:space="0" w:color="auto"/>
            </w:tcBorders>
            <w:shd w:val="clear" w:color="000000" w:fill="D9D9D9"/>
            <w:vAlign w:val="center"/>
            <w:hideMark/>
          </w:tcPr>
          <w:p w14:paraId="75DC0591" w14:textId="77777777" w:rsidR="00B26B98" w:rsidRPr="001D6A5E" w:rsidRDefault="00B26B98" w:rsidP="00281314">
            <w:pPr>
              <w:spacing w:after="0" w:line="240" w:lineRule="auto"/>
              <w:jc w:val="right"/>
              <w:rPr>
                <w:rFonts w:eastAsia="Times New Roman"/>
                <w:b/>
                <w:bCs/>
                <w:color w:val="000000"/>
                <w:sz w:val="20"/>
                <w:szCs w:val="20"/>
                <w:highlight w:val="yellow"/>
                <w:lang w:eastAsia="hr-HR"/>
              </w:rPr>
            </w:pPr>
            <w:r w:rsidRPr="00991251">
              <w:rPr>
                <w:rFonts w:eastAsia="Times New Roman"/>
                <w:b/>
                <w:bCs/>
                <w:color w:val="000000"/>
                <w:sz w:val="20"/>
                <w:szCs w:val="20"/>
                <w:lang w:eastAsia="hr-HR"/>
              </w:rPr>
              <w:t>385.640.617,9</w:t>
            </w:r>
            <w:r>
              <w:rPr>
                <w:rFonts w:eastAsia="Times New Roman"/>
                <w:b/>
                <w:bCs/>
                <w:color w:val="000000"/>
                <w:sz w:val="20"/>
                <w:szCs w:val="20"/>
                <w:lang w:eastAsia="hr-HR"/>
              </w:rPr>
              <w:t>0</w:t>
            </w:r>
          </w:p>
        </w:tc>
        <w:tc>
          <w:tcPr>
            <w:tcW w:w="1262" w:type="dxa"/>
            <w:tcBorders>
              <w:top w:val="nil"/>
              <w:left w:val="nil"/>
              <w:bottom w:val="single" w:sz="8" w:space="0" w:color="auto"/>
              <w:right w:val="single" w:sz="8" w:space="0" w:color="auto"/>
            </w:tcBorders>
            <w:shd w:val="clear" w:color="000000" w:fill="D9D9D9"/>
            <w:vAlign w:val="center"/>
            <w:hideMark/>
          </w:tcPr>
          <w:p w14:paraId="14CE8104" w14:textId="22BB6116"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100</w:t>
            </w:r>
            <w:r w:rsidR="00D42903">
              <w:rPr>
                <w:rFonts w:eastAsia="Times New Roman"/>
                <w:b/>
                <w:bCs/>
                <w:color w:val="000000"/>
                <w:sz w:val="20"/>
                <w:szCs w:val="20"/>
                <w:lang w:eastAsia="hr-HR"/>
              </w:rPr>
              <w:t xml:space="preserve"> </w:t>
            </w:r>
            <w:r w:rsidRPr="00233455">
              <w:rPr>
                <w:rFonts w:eastAsia="Times New Roman"/>
                <w:b/>
                <w:bCs/>
                <w:color w:val="000000"/>
                <w:sz w:val="20"/>
                <w:szCs w:val="20"/>
                <w:lang w:eastAsia="hr-HR"/>
              </w:rPr>
              <w:t>%</w:t>
            </w:r>
          </w:p>
        </w:tc>
        <w:tc>
          <w:tcPr>
            <w:tcW w:w="4067" w:type="dxa"/>
            <w:gridSpan w:val="2"/>
            <w:tcBorders>
              <w:top w:val="single" w:sz="8" w:space="0" w:color="auto"/>
              <w:left w:val="nil"/>
              <w:bottom w:val="single" w:sz="8" w:space="0" w:color="auto"/>
              <w:right w:val="single" w:sz="8" w:space="0" w:color="000000"/>
            </w:tcBorders>
            <w:shd w:val="clear" w:color="000000" w:fill="D9D9D9"/>
            <w:vAlign w:val="center"/>
            <w:hideMark/>
          </w:tcPr>
          <w:p w14:paraId="51383B50" w14:textId="77777777" w:rsidR="00B26B98" w:rsidRPr="00233455" w:rsidRDefault="00B26B98" w:rsidP="00281314">
            <w:pPr>
              <w:spacing w:after="0" w:line="240" w:lineRule="auto"/>
              <w:jc w:val="left"/>
              <w:rPr>
                <w:rFonts w:eastAsia="Times New Roman"/>
                <w:color w:val="000000"/>
                <w:sz w:val="20"/>
                <w:szCs w:val="20"/>
                <w:lang w:eastAsia="hr-HR"/>
              </w:rPr>
            </w:pPr>
            <w:r w:rsidRPr="00233455">
              <w:rPr>
                <w:rFonts w:eastAsia="Times New Roman"/>
                <w:color w:val="000000"/>
                <w:sz w:val="20"/>
                <w:szCs w:val="20"/>
                <w:lang w:eastAsia="hr-HR"/>
              </w:rPr>
              <w:t> </w:t>
            </w:r>
          </w:p>
        </w:tc>
        <w:tc>
          <w:tcPr>
            <w:tcW w:w="1809" w:type="dxa"/>
            <w:tcBorders>
              <w:top w:val="nil"/>
              <w:left w:val="nil"/>
              <w:bottom w:val="single" w:sz="8" w:space="0" w:color="auto"/>
              <w:right w:val="single" w:sz="8" w:space="0" w:color="auto"/>
            </w:tcBorders>
            <w:shd w:val="clear" w:color="000000" w:fill="D9D9D9"/>
            <w:vAlign w:val="center"/>
            <w:hideMark/>
          </w:tcPr>
          <w:p w14:paraId="75484320" w14:textId="77777777" w:rsidR="00B26B98" w:rsidRPr="00233455" w:rsidRDefault="00B26B98" w:rsidP="00281314">
            <w:pPr>
              <w:spacing w:after="0" w:line="240" w:lineRule="auto"/>
              <w:jc w:val="right"/>
              <w:rPr>
                <w:rFonts w:eastAsia="Times New Roman"/>
                <w:b/>
                <w:bCs/>
                <w:color w:val="000000"/>
                <w:sz w:val="20"/>
                <w:szCs w:val="20"/>
                <w:lang w:eastAsia="hr-HR"/>
              </w:rPr>
            </w:pPr>
            <w:r>
              <w:rPr>
                <w:rFonts w:eastAsia="Times New Roman"/>
                <w:b/>
                <w:bCs/>
                <w:color w:val="000000"/>
                <w:sz w:val="20"/>
                <w:szCs w:val="20"/>
                <w:lang w:eastAsia="hr-HR"/>
              </w:rPr>
              <w:t>620.463.136,37</w:t>
            </w:r>
          </w:p>
        </w:tc>
        <w:tc>
          <w:tcPr>
            <w:tcW w:w="1116" w:type="dxa"/>
            <w:tcBorders>
              <w:top w:val="nil"/>
              <w:left w:val="nil"/>
              <w:bottom w:val="single" w:sz="8" w:space="0" w:color="auto"/>
              <w:right w:val="single" w:sz="8" w:space="0" w:color="auto"/>
            </w:tcBorders>
            <w:shd w:val="clear" w:color="000000" w:fill="D9D9D9"/>
            <w:vAlign w:val="center"/>
            <w:hideMark/>
          </w:tcPr>
          <w:p w14:paraId="7044255F" w14:textId="0988484F" w:rsidR="00B26B98" w:rsidRPr="00233455" w:rsidRDefault="00B26B98" w:rsidP="00281314">
            <w:pPr>
              <w:spacing w:after="0" w:line="240" w:lineRule="auto"/>
              <w:jc w:val="center"/>
              <w:rPr>
                <w:rFonts w:eastAsia="Times New Roman"/>
                <w:b/>
                <w:bCs/>
                <w:color w:val="000000"/>
                <w:sz w:val="20"/>
                <w:szCs w:val="20"/>
                <w:lang w:eastAsia="hr-HR"/>
              </w:rPr>
            </w:pPr>
            <w:r w:rsidRPr="00233455">
              <w:rPr>
                <w:rFonts w:eastAsia="Times New Roman"/>
                <w:b/>
                <w:bCs/>
                <w:color w:val="000000"/>
                <w:sz w:val="20"/>
                <w:szCs w:val="20"/>
                <w:lang w:eastAsia="hr-HR"/>
              </w:rPr>
              <w:t>100</w:t>
            </w:r>
            <w:r w:rsidR="00D42903">
              <w:rPr>
                <w:rFonts w:eastAsia="Times New Roman"/>
                <w:b/>
                <w:bCs/>
                <w:color w:val="000000"/>
                <w:sz w:val="20"/>
                <w:szCs w:val="20"/>
                <w:lang w:eastAsia="hr-HR"/>
              </w:rPr>
              <w:t xml:space="preserve"> </w:t>
            </w:r>
            <w:r w:rsidRPr="00233455">
              <w:rPr>
                <w:rFonts w:eastAsia="Times New Roman"/>
                <w:b/>
                <w:bCs/>
                <w:color w:val="000000"/>
                <w:sz w:val="20"/>
                <w:szCs w:val="20"/>
                <w:lang w:eastAsia="hr-HR"/>
              </w:rPr>
              <w:t>%</w:t>
            </w:r>
          </w:p>
        </w:tc>
        <w:tc>
          <w:tcPr>
            <w:tcW w:w="2443" w:type="dxa"/>
            <w:tcBorders>
              <w:top w:val="single" w:sz="4" w:space="0" w:color="auto"/>
              <w:left w:val="nil"/>
              <w:bottom w:val="single" w:sz="8" w:space="0" w:color="auto"/>
              <w:right w:val="single" w:sz="8" w:space="0" w:color="auto"/>
            </w:tcBorders>
            <w:shd w:val="clear" w:color="000000" w:fill="D9D9D9"/>
            <w:vAlign w:val="center"/>
            <w:hideMark/>
          </w:tcPr>
          <w:p w14:paraId="015AAC5F" w14:textId="77777777" w:rsidR="00B26B98" w:rsidRPr="00233455" w:rsidRDefault="00B26B98" w:rsidP="00281314">
            <w:pPr>
              <w:spacing w:after="0" w:line="240" w:lineRule="auto"/>
              <w:jc w:val="right"/>
              <w:rPr>
                <w:rFonts w:eastAsia="Times New Roman"/>
                <w:b/>
                <w:bCs/>
                <w:color w:val="000000"/>
                <w:sz w:val="20"/>
                <w:szCs w:val="20"/>
                <w:lang w:eastAsia="hr-HR"/>
              </w:rPr>
            </w:pPr>
            <w:r>
              <w:rPr>
                <w:rFonts w:eastAsia="Times New Roman"/>
                <w:b/>
                <w:bCs/>
                <w:color w:val="000000"/>
                <w:sz w:val="20"/>
                <w:szCs w:val="20"/>
                <w:lang w:eastAsia="hr-HR"/>
              </w:rPr>
              <w:t>620.463.136,37</w:t>
            </w:r>
          </w:p>
        </w:tc>
      </w:tr>
    </w:tbl>
    <w:p w14:paraId="6BFDCC15" w14:textId="77777777" w:rsidR="005B0C27" w:rsidRPr="005B0C27" w:rsidRDefault="003A0CC1" w:rsidP="00952BB6">
      <w:pPr>
        <w:spacing w:after="0" w:line="240" w:lineRule="auto"/>
      </w:pPr>
      <w:r w:rsidRPr="005B0C27">
        <w:rPr>
          <w:sz w:val="22"/>
          <w:lang w:eastAsia="hr-HR"/>
        </w:rPr>
        <w:t>*</w:t>
      </w:r>
      <w:r w:rsidR="005B0C27" w:rsidRPr="005B0C27">
        <w:t xml:space="preserve"> Plan korištenja financijskih sredstava dobivenih od prodaje emisijskih jedinica putem dražbi u Republici Hrvatskoj od 2021. do 2025. godine</w:t>
      </w:r>
    </w:p>
    <w:p w14:paraId="0B6DA760" w14:textId="6D302B66" w:rsidR="003A0CC1" w:rsidRPr="005B0C27" w:rsidRDefault="003A0CC1" w:rsidP="00952BB6">
      <w:pPr>
        <w:spacing w:after="0" w:line="240" w:lineRule="auto"/>
        <w:rPr>
          <w:sz w:val="22"/>
          <w:lang w:eastAsia="hr-HR"/>
        </w:rPr>
        <w:sectPr w:rsidR="003A0CC1" w:rsidRPr="005B0C27" w:rsidSect="00952BB6">
          <w:headerReference w:type="default" r:id="rId16"/>
          <w:footerReference w:type="default" r:id="rId17"/>
          <w:pgSz w:w="16838" w:h="11906" w:orient="landscape"/>
          <w:pgMar w:top="720" w:right="720" w:bottom="720" w:left="720" w:header="708" w:footer="708" w:gutter="0"/>
          <w:cols w:space="708"/>
          <w:docGrid w:linePitch="360"/>
        </w:sectPr>
      </w:pPr>
      <w:r w:rsidRPr="005B0C27">
        <w:rPr>
          <w:sz w:val="22"/>
          <w:lang w:eastAsia="hr-HR"/>
        </w:rPr>
        <w:t>**</w:t>
      </w:r>
      <w:r w:rsidR="005B0C27" w:rsidRPr="005B0C27">
        <w:rPr>
          <w:sz w:val="22"/>
          <w:lang w:eastAsia="hr-HR"/>
        </w:rPr>
        <w:t xml:space="preserve"> </w:t>
      </w:r>
      <w:r w:rsidR="005B0C27" w:rsidRPr="005B0C27">
        <w:t>Izmjene i dopune</w:t>
      </w:r>
      <w:r w:rsidR="005B0C27" w:rsidRPr="005B0C27">
        <w:rPr>
          <w:sz w:val="22"/>
          <w:lang w:eastAsia="hr-HR"/>
        </w:rPr>
        <w:t xml:space="preserve"> </w:t>
      </w:r>
      <w:r w:rsidR="005B0C27" w:rsidRPr="005B0C27">
        <w:t>Plana korištenja financijskih sredstava dobivenih od prodaje emisijskih jedinica putem dražbi u Republici Hrvatskoj od 2021. do 2025. godine</w:t>
      </w:r>
    </w:p>
    <w:bookmarkEnd w:id="33"/>
    <w:p w14:paraId="0F06589B" w14:textId="5A8765C7" w:rsidR="00D418DA" w:rsidRPr="00D418DA" w:rsidRDefault="001F6BC6" w:rsidP="007E5CB5">
      <w:pPr>
        <w:ind w:firstLine="709"/>
        <w:rPr>
          <w:highlight w:val="yellow"/>
        </w:rPr>
      </w:pPr>
      <w:r w:rsidRPr="001F6BC6">
        <w:lastRenderedPageBreak/>
        <w:t>Zajednička dražbovna platforma</w:t>
      </w:r>
      <w:r>
        <w:rPr>
          <w:i/>
          <w:iCs/>
        </w:rPr>
        <w:t xml:space="preserve"> </w:t>
      </w:r>
      <w:proofErr w:type="spellStart"/>
      <w:r w:rsidR="00D418DA" w:rsidRPr="00DC13B2">
        <w:rPr>
          <w:i/>
          <w:iCs/>
        </w:rPr>
        <w:t>The</w:t>
      </w:r>
      <w:proofErr w:type="spellEnd"/>
      <w:r w:rsidR="00D418DA" w:rsidRPr="00DC13B2">
        <w:rPr>
          <w:i/>
          <w:iCs/>
        </w:rPr>
        <w:t xml:space="preserve"> European Energy Exchange</w:t>
      </w:r>
      <w:r w:rsidR="00D418DA" w:rsidRPr="00D418DA">
        <w:t xml:space="preserve"> (EEX) je za 2023. godinu za razdoblje od 4.</w:t>
      </w:r>
      <w:r w:rsidR="00BD5A87">
        <w:t xml:space="preserve"> </w:t>
      </w:r>
      <w:r w:rsidR="00D418DA" w:rsidRPr="00D418DA">
        <w:t>9.</w:t>
      </w:r>
      <w:r w:rsidR="00BD5A87">
        <w:t xml:space="preserve"> </w:t>
      </w:r>
      <w:r w:rsidR="00DF23D5">
        <w:t>do</w:t>
      </w:r>
      <w:r w:rsidR="00BD5A87">
        <w:t xml:space="preserve"> </w:t>
      </w:r>
      <w:r w:rsidR="00D418DA" w:rsidRPr="00D418DA">
        <w:t>31.</w:t>
      </w:r>
      <w:r w:rsidR="00BD5A87">
        <w:t xml:space="preserve"> </w:t>
      </w:r>
      <w:r w:rsidR="00D418DA" w:rsidRPr="00D418DA">
        <w:t>12.</w:t>
      </w:r>
      <w:r w:rsidR="00BD5A87">
        <w:t xml:space="preserve"> </w:t>
      </w:r>
      <w:r w:rsidR="00D418DA" w:rsidRPr="00D418DA">
        <w:t>2023. godine donijela izmjenu kalendara dražbi po kojem je smanjen broj emisijskih jedinica za Republiku Hrvatsku za 425.500</w:t>
      </w:r>
      <w:r w:rsidR="00552522">
        <w:t xml:space="preserve"> jedinica</w:t>
      </w:r>
      <w:r w:rsidR="00D418DA">
        <w:t xml:space="preserve">. </w:t>
      </w:r>
      <w:r w:rsidR="00D418DA" w:rsidRPr="00D418DA">
        <w:t xml:space="preserve">Naime, prema prvotnom kalendaru broj emisijskih jedinca iznosio je 2.337.000, a po izmijenjenom je određena kvota od 1.911.500 emisijskih jedinica koje su u ime Republike Hrvatske ponuđene na 149 dražbi tijekom 2023. godine od čije je prodaje ostvareno </w:t>
      </w:r>
      <w:r w:rsidR="00D418DA" w:rsidRPr="001F6BC6">
        <w:rPr>
          <w:b/>
          <w:bCs/>
        </w:rPr>
        <w:t>158.909.900,00 EUR</w:t>
      </w:r>
      <w:r w:rsidR="00D418DA" w:rsidRPr="00D418DA">
        <w:t>.</w:t>
      </w:r>
    </w:p>
    <w:p w14:paraId="34947A7F" w14:textId="7D9E12B2" w:rsidR="00D418DA" w:rsidRDefault="00D418DA" w:rsidP="007E5CB5">
      <w:pPr>
        <w:spacing w:before="60" w:after="60"/>
        <w:ind w:firstLine="709"/>
      </w:pPr>
      <w:proofErr w:type="spellStart"/>
      <w:r w:rsidRPr="00552522">
        <w:rPr>
          <w:i/>
          <w:iCs/>
        </w:rPr>
        <w:t>The</w:t>
      </w:r>
      <w:proofErr w:type="spellEnd"/>
      <w:r w:rsidRPr="00552522">
        <w:rPr>
          <w:i/>
          <w:iCs/>
        </w:rPr>
        <w:t xml:space="preserve"> European Energy Exchange</w:t>
      </w:r>
      <w:r>
        <w:t xml:space="preserve"> (EEX) je za 2024. godinu za razdoblje od 2.</w:t>
      </w:r>
      <w:r w:rsidR="00D7676B">
        <w:t xml:space="preserve"> </w:t>
      </w:r>
      <w:r>
        <w:t>9.</w:t>
      </w:r>
      <w:r w:rsidR="00D7676B">
        <w:t xml:space="preserve"> </w:t>
      </w:r>
      <w:r>
        <w:t>-</w:t>
      </w:r>
      <w:r w:rsidR="00D7676B">
        <w:t xml:space="preserve"> </w:t>
      </w:r>
      <w:r>
        <w:t>31.</w:t>
      </w:r>
      <w:r w:rsidR="00D7676B">
        <w:t xml:space="preserve"> </w:t>
      </w:r>
      <w:r>
        <w:t>12.</w:t>
      </w:r>
      <w:r w:rsidR="00D7676B">
        <w:t xml:space="preserve"> </w:t>
      </w:r>
      <w:r>
        <w:t>2024. godine donijela izmjenu kalendara dražbi po kojem je smanjen broj emisijskih jedinica za Republiku Hrvatsku za 416.500</w:t>
      </w:r>
      <w:r w:rsidR="00D7676B">
        <w:t xml:space="preserve"> jedinica</w:t>
      </w:r>
      <w:r>
        <w:t>.</w:t>
      </w:r>
    </w:p>
    <w:p w14:paraId="585541BD" w14:textId="4A3C53FF" w:rsidR="00952BB6" w:rsidRDefault="00D418DA" w:rsidP="007E5CB5">
      <w:pPr>
        <w:spacing w:before="60" w:after="60"/>
        <w:ind w:firstLine="709"/>
      </w:pPr>
      <w:r>
        <w:t xml:space="preserve">Naime, prema prvotnom kalendaru broj emisijskih jedinca iznosio je 2.243.500, a po izmijenjenom je određena kvota od 1.827.000 emisijskih jedinica koje su u ime Republike Hrvatske ponuđene na 148 dražbi tijekom 2024. godine od čije je prodaje ostvareno </w:t>
      </w:r>
      <w:r w:rsidRPr="001F6BC6">
        <w:rPr>
          <w:b/>
          <w:bCs/>
        </w:rPr>
        <w:t>118.302.385,00 EUR</w:t>
      </w:r>
      <w:r w:rsidR="00FC29C6">
        <w:t>.</w:t>
      </w:r>
    </w:p>
    <w:p w14:paraId="33AC1684" w14:textId="77777777" w:rsidR="001F6BC6" w:rsidRPr="00952BB6" w:rsidRDefault="001F6BC6" w:rsidP="007E5CB5">
      <w:pPr>
        <w:spacing w:before="60" w:after="60"/>
        <w:ind w:firstLine="709"/>
        <w:rPr>
          <w:b/>
          <w:bCs/>
          <w:highlight w:val="yellow"/>
        </w:rPr>
      </w:pPr>
    </w:p>
    <w:p w14:paraId="59C7E047" w14:textId="7B5D3B0A" w:rsidR="00952BB6" w:rsidRPr="00952BB6" w:rsidRDefault="00952BB6" w:rsidP="007E5CB5">
      <w:pPr>
        <w:spacing w:before="60" w:after="60"/>
        <w:ind w:firstLine="709"/>
        <w:rPr>
          <w:b/>
          <w:bCs/>
        </w:rPr>
      </w:pPr>
      <w:r w:rsidRPr="00952BB6">
        <w:rPr>
          <w:b/>
          <w:bCs/>
        </w:rPr>
        <w:t>Ukupno je u 202</w:t>
      </w:r>
      <w:r w:rsidR="00D418DA" w:rsidRPr="00D418DA">
        <w:rPr>
          <w:b/>
          <w:bCs/>
        </w:rPr>
        <w:t>3</w:t>
      </w:r>
      <w:r w:rsidRPr="00952BB6">
        <w:rPr>
          <w:b/>
          <w:bCs/>
        </w:rPr>
        <w:t>. i 202</w:t>
      </w:r>
      <w:r w:rsidR="00D418DA" w:rsidRPr="00D418DA">
        <w:rPr>
          <w:b/>
          <w:bCs/>
        </w:rPr>
        <w:t>4</w:t>
      </w:r>
      <w:r w:rsidRPr="00952BB6">
        <w:rPr>
          <w:b/>
          <w:bCs/>
        </w:rPr>
        <w:t xml:space="preserve">. godini ostvareno </w:t>
      </w:r>
      <w:r w:rsidR="00D418DA" w:rsidRPr="00D418DA">
        <w:rPr>
          <w:b/>
          <w:bCs/>
        </w:rPr>
        <w:t>277.212.285 EUR</w:t>
      </w:r>
      <w:r w:rsidRPr="00952BB6">
        <w:rPr>
          <w:b/>
          <w:bCs/>
        </w:rPr>
        <w:t xml:space="preserve"> prihoda</w:t>
      </w:r>
      <w:r w:rsidRPr="00952BB6">
        <w:t>, od čega je dio financijskih sredstava (5</w:t>
      </w:r>
      <w:r w:rsidR="00FC29C6">
        <w:t xml:space="preserve"> </w:t>
      </w:r>
      <w:r w:rsidRPr="00952BB6">
        <w:t>%) ostvarenih od prodaje emisijskih jedinica stakleničkih plinova putem dražbi namijenjen za pokrivanje troškova administriranja sustava kako slijedi:</w:t>
      </w:r>
    </w:p>
    <w:p w14:paraId="7998C4E7" w14:textId="5FBCF99D" w:rsidR="00B26B98" w:rsidRPr="00B26B98" w:rsidRDefault="00B26B98" w:rsidP="00077A5D">
      <w:pPr>
        <w:numPr>
          <w:ilvl w:val="0"/>
          <w:numId w:val="14"/>
        </w:numPr>
        <w:spacing w:before="60" w:after="60"/>
        <w:ind w:left="709"/>
        <w:contextualSpacing/>
      </w:pPr>
      <w:r w:rsidRPr="00B26B98">
        <w:t>11.781.522,34 EUR</w:t>
      </w:r>
      <w:r w:rsidR="00952BB6" w:rsidRPr="00B26B98">
        <w:t xml:space="preserve"> (85</w:t>
      </w:r>
      <w:r w:rsidR="00CD7973">
        <w:t xml:space="preserve"> </w:t>
      </w:r>
      <w:r w:rsidR="00952BB6" w:rsidRPr="00B26B98">
        <w:t xml:space="preserve">%) uplaćeno je u Državni proračun Republike Hrvatske na ime </w:t>
      </w:r>
      <w:r w:rsidRPr="00B26B98">
        <w:t>MZOZT</w:t>
      </w:r>
      <w:r w:rsidR="00590646">
        <w:t xml:space="preserve">, s napomenom da je </w:t>
      </w:r>
      <w:r w:rsidRPr="00B26B98">
        <w:t>do 16.</w:t>
      </w:r>
      <w:r w:rsidR="00CD7973">
        <w:t xml:space="preserve"> </w:t>
      </w:r>
      <w:r w:rsidRPr="00B26B98">
        <w:t>5.</w:t>
      </w:r>
      <w:r w:rsidR="00CD7973">
        <w:t xml:space="preserve"> </w:t>
      </w:r>
      <w:r w:rsidRPr="00B26B98">
        <w:t xml:space="preserve">2024. godine </w:t>
      </w:r>
      <w:r w:rsidR="00590646">
        <w:t xml:space="preserve">uplaćivano na ime </w:t>
      </w:r>
      <w:r w:rsidRPr="00B26B98">
        <w:t xml:space="preserve">MINGOR </w:t>
      </w:r>
    </w:p>
    <w:p w14:paraId="1D930123" w14:textId="0B2EF569" w:rsidR="00952BB6" w:rsidRPr="00B26B98" w:rsidRDefault="00B26B98" w:rsidP="00077A5D">
      <w:pPr>
        <w:numPr>
          <w:ilvl w:val="0"/>
          <w:numId w:val="14"/>
        </w:numPr>
        <w:spacing w:before="60" w:after="60"/>
        <w:ind w:left="709"/>
        <w:contextualSpacing/>
      </w:pPr>
      <w:r w:rsidRPr="00B26B98">
        <w:t xml:space="preserve">2.079.091,91 EUR </w:t>
      </w:r>
      <w:r w:rsidR="00952BB6" w:rsidRPr="00B26B98">
        <w:t>(15</w:t>
      </w:r>
      <w:r w:rsidR="00CD7973">
        <w:t xml:space="preserve"> </w:t>
      </w:r>
      <w:r w:rsidR="00952BB6" w:rsidRPr="00B26B98">
        <w:t>%) evidentirano je kao prihod Fonda uz napomenu da sukladno Ugovoru sklopljen</w:t>
      </w:r>
      <w:r w:rsidRPr="00B26B98">
        <w:t>om</w:t>
      </w:r>
      <w:r w:rsidR="00952BB6" w:rsidRPr="00B26B98">
        <w:t xml:space="preserve"> između Fonda i </w:t>
      </w:r>
      <w:r w:rsidRPr="00B26B98">
        <w:t xml:space="preserve">MZOZT-a (tadašnji </w:t>
      </w:r>
      <w:r w:rsidR="00952BB6" w:rsidRPr="00B26B98">
        <w:t>MINGOR</w:t>
      </w:r>
      <w:r w:rsidRPr="00B26B98">
        <w:t xml:space="preserve"> </w:t>
      </w:r>
      <w:r w:rsidR="00952BB6" w:rsidRPr="00B26B98">
        <w:t>od 7.</w:t>
      </w:r>
      <w:r w:rsidR="00CD7973">
        <w:t xml:space="preserve"> </w:t>
      </w:r>
      <w:r w:rsidR="00952BB6" w:rsidRPr="00B26B98">
        <w:t>10.</w:t>
      </w:r>
      <w:r w:rsidR="00CD7973">
        <w:t xml:space="preserve"> </w:t>
      </w:r>
      <w:r w:rsidR="00952BB6" w:rsidRPr="00B26B98">
        <w:t>2021. godine</w:t>
      </w:r>
      <w:r w:rsidRPr="00B26B98">
        <w:t>)</w:t>
      </w:r>
      <w:r w:rsidR="00952BB6" w:rsidRPr="00B26B98">
        <w:t xml:space="preserve"> udio za pokriće troškova administriranja sustava trgovanja emisijskim jedinicama za Dražbovatelja iznosi 15</w:t>
      </w:r>
      <w:r w:rsidR="00CD7973">
        <w:t xml:space="preserve"> </w:t>
      </w:r>
      <w:r w:rsidR="00952BB6" w:rsidRPr="00B26B98">
        <w:t>%.</w:t>
      </w:r>
    </w:p>
    <w:p w14:paraId="1722EC59" w14:textId="2FE67636" w:rsidR="00AC005A" w:rsidRDefault="00952BB6" w:rsidP="00952BB6">
      <w:pPr>
        <w:spacing w:before="60" w:after="60"/>
      </w:pPr>
      <w:r w:rsidRPr="00B26B98">
        <w:t xml:space="preserve">a preostala financijska sredstva evidentirana su na posebnom računu Fonda u vidu prihoda od prodaje emisijskih jedinica </w:t>
      </w:r>
      <w:r w:rsidRPr="00B26B98">
        <w:rPr>
          <w:b/>
          <w:bCs/>
        </w:rPr>
        <w:t xml:space="preserve">u iznosu od </w:t>
      </w:r>
      <w:r w:rsidR="00B26B98" w:rsidRPr="00B26B98">
        <w:rPr>
          <w:b/>
          <w:bCs/>
        </w:rPr>
        <w:t xml:space="preserve">263.351.670,75 EUR </w:t>
      </w:r>
      <w:r w:rsidRPr="00B26B98">
        <w:t xml:space="preserve">za provođenje projekata sukladno </w:t>
      </w:r>
      <w:r w:rsidRPr="00B26B98">
        <w:rPr>
          <w:b/>
          <w:bCs/>
        </w:rPr>
        <w:t>Planu II</w:t>
      </w:r>
      <w:r w:rsidR="00CD7973">
        <w:rPr>
          <w:b/>
          <w:bCs/>
        </w:rPr>
        <w:t>.</w:t>
      </w:r>
      <w:r w:rsidRPr="00B26B98">
        <w:rPr>
          <w:b/>
          <w:bCs/>
        </w:rPr>
        <w:t xml:space="preserve"> </w:t>
      </w:r>
      <w:r w:rsidRPr="00A861B1">
        <w:rPr>
          <w:b/>
          <w:bCs/>
        </w:rPr>
        <w:t xml:space="preserve"> </w:t>
      </w:r>
      <w:r w:rsidR="00AC005A" w:rsidRPr="00AC005A">
        <w:t xml:space="preserve">Uz sredstva koja su uprihođena u 2021. i 2022. u iznosu od ukupno 242.569.425,51 EUR, </w:t>
      </w:r>
      <w:r w:rsidR="00AC005A" w:rsidRPr="00AC005A">
        <w:rPr>
          <w:b/>
          <w:bCs/>
        </w:rPr>
        <w:t>u razdoblju od 2021. do 2024. za potrebe provedbe Plana II. uprihođeno je 505.921.096,26 EUR</w:t>
      </w:r>
      <w:r w:rsidR="00AC005A">
        <w:t>, što je prikazano u Prilogu 4.</w:t>
      </w:r>
    </w:p>
    <w:p w14:paraId="665510B8" w14:textId="77777777" w:rsidR="00AC005A" w:rsidRPr="00AC005A" w:rsidRDefault="00AC005A" w:rsidP="00952BB6">
      <w:pPr>
        <w:spacing w:before="60" w:after="60"/>
      </w:pPr>
    </w:p>
    <w:p w14:paraId="1D821060" w14:textId="5B8CA276" w:rsidR="00952BB6" w:rsidRPr="00AC005A" w:rsidRDefault="00952BB6" w:rsidP="00952BB6">
      <w:pPr>
        <w:spacing w:before="60" w:after="60"/>
        <w:rPr>
          <w:b/>
          <w:bCs/>
          <w:highlight w:val="yellow"/>
        </w:rPr>
      </w:pPr>
      <w:r w:rsidRPr="00A861B1">
        <w:rPr>
          <w:rFonts w:eastAsia="Times New Roman"/>
          <w:bCs/>
          <w:lang w:eastAsia="hr-HR"/>
        </w:rPr>
        <w:t>Fond je u 202</w:t>
      </w:r>
      <w:r w:rsidR="0076473A" w:rsidRPr="00A861B1">
        <w:rPr>
          <w:rFonts w:eastAsia="Times New Roman"/>
          <w:bCs/>
          <w:lang w:eastAsia="hr-HR"/>
        </w:rPr>
        <w:t>3</w:t>
      </w:r>
      <w:r w:rsidRPr="00A861B1">
        <w:rPr>
          <w:rFonts w:eastAsia="Times New Roman"/>
          <w:bCs/>
          <w:lang w:eastAsia="hr-HR"/>
        </w:rPr>
        <w:t>. i 202</w:t>
      </w:r>
      <w:r w:rsidR="0076473A" w:rsidRPr="00A861B1">
        <w:rPr>
          <w:rFonts w:eastAsia="Times New Roman"/>
          <w:bCs/>
          <w:lang w:eastAsia="hr-HR"/>
        </w:rPr>
        <w:t>4</w:t>
      </w:r>
      <w:r w:rsidRPr="00A861B1">
        <w:rPr>
          <w:rFonts w:eastAsia="Times New Roman"/>
          <w:bCs/>
          <w:lang w:eastAsia="hr-HR"/>
        </w:rPr>
        <w:t xml:space="preserve">. godini sukladno provedenim javnim pozivima, javnim natječajima i javnoj nabavi proveo nove postupke dodjele sredstava ili preuzimanje novih financijskih obveza </w:t>
      </w:r>
      <w:r w:rsidRPr="00A861B1">
        <w:t>sukladno Planu II</w:t>
      </w:r>
      <w:r w:rsidR="008966AB">
        <w:t>.</w:t>
      </w:r>
      <w:r w:rsidRPr="00A861B1">
        <w:t xml:space="preserve"> te Financijskom planu Fonda za zaštitu okoliša i energetsku učinkovitost za 202</w:t>
      </w:r>
      <w:r w:rsidR="0076473A" w:rsidRPr="00A861B1">
        <w:t>3</w:t>
      </w:r>
      <w:r w:rsidRPr="00A861B1">
        <w:t>. i 202</w:t>
      </w:r>
      <w:r w:rsidR="0076473A" w:rsidRPr="00A861B1">
        <w:t>4</w:t>
      </w:r>
      <w:r w:rsidRPr="00A861B1">
        <w:t xml:space="preserve">. godinu (u daljnjem tekstu Financijski plan Fonda) </w:t>
      </w:r>
      <w:r w:rsidRPr="008D5BD0">
        <w:t>te je na dan 31.</w:t>
      </w:r>
      <w:r w:rsidR="00CD7973">
        <w:t xml:space="preserve"> </w:t>
      </w:r>
      <w:r w:rsidRPr="008D5BD0">
        <w:t>12.</w:t>
      </w:r>
      <w:r w:rsidR="00CD7973">
        <w:t xml:space="preserve"> </w:t>
      </w:r>
      <w:r w:rsidRPr="008D5BD0">
        <w:t>202</w:t>
      </w:r>
      <w:r w:rsidR="0076473A" w:rsidRPr="008D5BD0">
        <w:t>4</w:t>
      </w:r>
      <w:r w:rsidRPr="008D5BD0">
        <w:t xml:space="preserve">. preuzeo obveze po projektima zaštite okoliša i energetske učinkovitosti u iznosu </w:t>
      </w:r>
      <w:r w:rsidRPr="001D3684">
        <w:t>od</w:t>
      </w:r>
      <w:r w:rsidR="00527C7E" w:rsidRPr="001D3684">
        <w:t xml:space="preserve"> </w:t>
      </w:r>
      <w:r w:rsidR="008D5BD0" w:rsidRPr="001D3684">
        <w:rPr>
          <w:b/>
          <w:bCs/>
          <w:u w:val="single"/>
        </w:rPr>
        <w:t>521.282.261,7</w:t>
      </w:r>
      <w:r w:rsidR="00AD0519" w:rsidRPr="001D3684">
        <w:rPr>
          <w:b/>
          <w:bCs/>
          <w:u w:val="single"/>
        </w:rPr>
        <w:t>4</w:t>
      </w:r>
      <w:r w:rsidR="008D5BD0" w:rsidRPr="001D3684">
        <w:rPr>
          <w:b/>
          <w:bCs/>
          <w:u w:val="single"/>
        </w:rPr>
        <w:t xml:space="preserve"> </w:t>
      </w:r>
      <w:r w:rsidR="00527C7E" w:rsidRPr="001D3684">
        <w:rPr>
          <w:b/>
          <w:bCs/>
          <w:u w:val="single"/>
        </w:rPr>
        <w:t>EUR</w:t>
      </w:r>
      <w:r w:rsidRPr="001D3684">
        <w:rPr>
          <w:b/>
          <w:bCs/>
        </w:rPr>
        <w:t>,</w:t>
      </w:r>
      <w:r w:rsidRPr="008D5BD0">
        <w:rPr>
          <w:b/>
          <w:bCs/>
        </w:rPr>
        <w:t xml:space="preserve"> </w:t>
      </w:r>
      <w:r w:rsidRPr="008D5BD0">
        <w:t xml:space="preserve">od čega su realizirana (isplaćena) sredstva u iznosu od </w:t>
      </w:r>
      <w:r w:rsidR="008D5BD0" w:rsidRPr="008D5BD0">
        <w:rPr>
          <w:b/>
          <w:bCs/>
          <w:u w:val="single"/>
        </w:rPr>
        <w:t>343.293.217,27</w:t>
      </w:r>
      <w:r w:rsidR="00527C7E" w:rsidRPr="008D5BD0">
        <w:rPr>
          <w:b/>
          <w:bCs/>
          <w:u w:val="single"/>
        </w:rPr>
        <w:t xml:space="preserve"> EUR</w:t>
      </w:r>
      <w:r w:rsidRPr="008D5BD0">
        <w:t>, što znači da su preostale obveze na dan 31.</w:t>
      </w:r>
      <w:r w:rsidR="00CD7973">
        <w:t xml:space="preserve"> </w:t>
      </w:r>
      <w:r w:rsidRPr="008D5BD0">
        <w:t>12.</w:t>
      </w:r>
      <w:r w:rsidR="00CD7973">
        <w:t xml:space="preserve"> </w:t>
      </w:r>
      <w:r w:rsidRPr="008D5BD0">
        <w:t>202</w:t>
      </w:r>
      <w:r w:rsidR="00B26B98" w:rsidRPr="008D5BD0">
        <w:t>4</w:t>
      </w:r>
      <w:r w:rsidRPr="008D5BD0">
        <w:t xml:space="preserve">. iznosile </w:t>
      </w:r>
      <w:r w:rsidR="008D5BD0" w:rsidRPr="008D5BD0">
        <w:rPr>
          <w:b/>
          <w:bCs/>
          <w:u w:val="single"/>
        </w:rPr>
        <w:t>177.989.044,47</w:t>
      </w:r>
      <w:r w:rsidRPr="008D5BD0">
        <w:t xml:space="preserve"> </w:t>
      </w:r>
      <w:r w:rsidR="00527C7E" w:rsidRPr="008D5BD0">
        <w:t>EUR</w:t>
      </w:r>
      <w:r w:rsidRPr="008D5BD0">
        <w:t xml:space="preserve"> (višegodišnji projekti u provedbi).</w:t>
      </w:r>
    </w:p>
    <w:p w14:paraId="21BAF411" w14:textId="1DE35402" w:rsidR="00952BB6" w:rsidRPr="0076473A" w:rsidRDefault="00952BB6" w:rsidP="007E5CB5">
      <w:pPr>
        <w:spacing w:before="60" w:after="60"/>
        <w:ind w:firstLine="709"/>
      </w:pPr>
      <w:r w:rsidRPr="0076473A">
        <w:t>U izvještajnom razdoblju (202</w:t>
      </w:r>
      <w:r w:rsidR="0076473A" w:rsidRPr="0076473A">
        <w:t>3</w:t>
      </w:r>
      <w:r w:rsidRPr="0076473A">
        <w:t>. i 202</w:t>
      </w:r>
      <w:r w:rsidR="0076473A" w:rsidRPr="0076473A">
        <w:t>4</w:t>
      </w:r>
      <w:r w:rsidRPr="0076473A">
        <w:t>. godina) sredstva u iznosu od</w:t>
      </w:r>
      <w:r w:rsidRPr="0076473A">
        <w:rPr>
          <w:b/>
          <w:bCs/>
        </w:rPr>
        <w:t xml:space="preserve"> </w:t>
      </w:r>
      <w:r w:rsidR="00527C7E" w:rsidRPr="00527C7E">
        <w:rPr>
          <w:b/>
          <w:bCs/>
        </w:rPr>
        <w:t>245.282.422,69</w:t>
      </w:r>
      <w:r w:rsidR="00527C7E">
        <w:rPr>
          <w:b/>
          <w:bCs/>
        </w:rPr>
        <w:t xml:space="preserve"> </w:t>
      </w:r>
      <w:r w:rsidR="0076473A">
        <w:rPr>
          <w:b/>
          <w:bCs/>
        </w:rPr>
        <w:t xml:space="preserve">EUR </w:t>
      </w:r>
      <w:r w:rsidRPr="0076473A">
        <w:t>realizirana (isplaćena) su za:</w:t>
      </w:r>
    </w:p>
    <w:p w14:paraId="1C31E4B4" w14:textId="6FC0E9A7" w:rsidR="00952BB6" w:rsidRPr="0076473A" w:rsidRDefault="00CD7973" w:rsidP="00077A5D">
      <w:pPr>
        <w:numPr>
          <w:ilvl w:val="0"/>
          <w:numId w:val="15"/>
        </w:numPr>
        <w:spacing w:before="60" w:after="60"/>
        <w:contextualSpacing/>
        <w:rPr>
          <w:b/>
          <w:bCs/>
        </w:rPr>
      </w:pPr>
      <w:r>
        <w:rPr>
          <w:b/>
          <w:bCs/>
        </w:rPr>
        <w:t>p</w:t>
      </w:r>
      <w:r w:rsidR="00952BB6" w:rsidRPr="0076473A">
        <w:rPr>
          <w:b/>
          <w:bCs/>
        </w:rPr>
        <w:t xml:space="preserve">rograme i projekte zaštite okoliša </w:t>
      </w:r>
      <w:r w:rsidR="0076473A" w:rsidRPr="0076473A">
        <w:rPr>
          <w:b/>
          <w:bCs/>
        </w:rPr>
        <w:t>18.048.775,42</w:t>
      </w:r>
      <w:r w:rsidR="0076473A">
        <w:rPr>
          <w:b/>
          <w:bCs/>
        </w:rPr>
        <w:t xml:space="preserve"> EUR</w:t>
      </w:r>
      <w:r w:rsidR="00952BB6" w:rsidRPr="0076473A">
        <w:rPr>
          <w:b/>
          <w:bCs/>
        </w:rPr>
        <w:t xml:space="preserve"> i</w:t>
      </w:r>
    </w:p>
    <w:p w14:paraId="411F8D88" w14:textId="56D0A1E7" w:rsidR="00952BB6" w:rsidRPr="0076473A" w:rsidRDefault="00CD7973" w:rsidP="00077A5D">
      <w:pPr>
        <w:numPr>
          <w:ilvl w:val="0"/>
          <w:numId w:val="15"/>
        </w:numPr>
        <w:spacing w:before="60" w:after="60"/>
        <w:contextualSpacing/>
        <w:rPr>
          <w:b/>
          <w:bCs/>
        </w:rPr>
      </w:pPr>
      <w:r>
        <w:rPr>
          <w:b/>
          <w:bCs/>
        </w:rPr>
        <w:t>p</w:t>
      </w:r>
      <w:r w:rsidR="00952BB6" w:rsidRPr="0076473A">
        <w:rPr>
          <w:b/>
          <w:bCs/>
        </w:rPr>
        <w:t xml:space="preserve">rograme i projekte energetske učinkovitosti </w:t>
      </w:r>
      <w:r w:rsidR="00527C7E" w:rsidRPr="00527C7E">
        <w:rPr>
          <w:b/>
          <w:bCs/>
        </w:rPr>
        <w:t>227.233.647,27</w:t>
      </w:r>
      <w:r w:rsidR="00527C7E">
        <w:rPr>
          <w:b/>
          <w:bCs/>
        </w:rPr>
        <w:t xml:space="preserve"> EUR</w:t>
      </w:r>
    </w:p>
    <w:p w14:paraId="29FB3787" w14:textId="77777777" w:rsidR="00DF23D5" w:rsidRDefault="00DF23D5" w:rsidP="00952BB6">
      <w:pPr>
        <w:spacing w:before="60" w:after="60"/>
      </w:pPr>
    </w:p>
    <w:p w14:paraId="72856076" w14:textId="43B981F6" w:rsidR="00952BB6" w:rsidRPr="0076473A" w:rsidRDefault="00C4135A" w:rsidP="00952BB6">
      <w:pPr>
        <w:spacing w:before="60" w:after="60"/>
      </w:pPr>
      <w:r>
        <w:t>U</w:t>
      </w:r>
      <w:r w:rsidR="00952BB6" w:rsidRPr="0076473A">
        <w:t xml:space="preserve"> </w:t>
      </w:r>
      <w:r w:rsidR="00952BB6" w:rsidRPr="0076473A">
        <w:rPr>
          <w:b/>
          <w:bCs/>
        </w:rPr>
        <w:t xml:space="preserve">Tablici </w:t>
      </w:r>
      <w:r w:rsidR="00AC005A">
        <w:rPr>
          <w:b/>
          <w:bCs/>
        </w:rPr>
        <w:t>4.</w:t>
      </w:r>
      <w:r w:rsidR="00952BB6" w:rsidRPr="0076473A">
        <w:t xml:space="preserve"> </w:t>
      </w:r>
      <w:r w:rsidR="00CD7973">
        <w:t>prikazani</w:t>
      </w:r>
      <w:r w:rsidR="00952BB6" w:rsidRPr="0076473A">
        <w:t xml:space="preserve"> su podaci za izvršenje mjera (područja) u 202</w:t>
      </w:r>
      <w:r w:rsidR="0076473A">
        <w:t>3</w:t>
      </w:r>
      <w:r w:rsidR="00952BB6" w:rsidRPr="0076473A">
        <w:t>. i 202</w:t>
      </w:r>
      <w:r w:rsidR="0076473A">
        <w:t>4</w:t>
      </w:r>
      <w:r w:rsidR="00952BB6" w:rsidRPr="0076473A">
        <w:t>. godini.</w:t>
      </w:r>
    </w:p>
    <w:p w14:paraId="00D1CA2F" w14:textId="0417C628" w:rsidR="00952BB6" w:rsidRPr="00FC3197" w:rsidRDefault="00952BB6" w:rsidP="00952BB6">
      <w:pPr>
        <w:spacing w:before="240" w:after="240" w:line="240" w:lineRule="auto"/>
      </w:pPr>
      <w:r w:rsidRPr="00FC3197">
        <w:rPr>
          <w:b/>
          <w:bCs/>
        </w:rPr>
        <w:t xml:space="preserve">Tablica </w:t>
      </w:r>
      <w:r w:rsidR="00AC005A">
        <w:rPr>
          <w:b/>
          <w:bCs/>
        </w:rPr>
        <w:t>4.</w:t>
      </w:r>
      <w:r w:rsidRPr="00FC3197">
        <w:rPr>
          <w:b/>
          <w:bCs/>
        </w:rPr>
        <w:t xml:space="preserve"> </w:t>
      </w:r>
      <w:r w:rsidRPr="00FC3197">
        <w:t xml:space="preserve">Izvršenje mjera (područja) u izvještajnom razdoblju </w:t>
      </w:r>
    </w:p>
    <w:tbl>
      <w:tblPr>
        <w:tblStyle w:val="Reetkatablice"/>
        <w:tblW w:w="9776" w:type="dxa"/>
        <w:tblLayout w:type="fixed"/>
        <w:tblLook w:val="04A0" w:firstRow="1" w:lastRow="0" w:firstColumn="1" w:lastColumn="0" w:noHBand="0" w:noVBand="1"/>
      </w:tblPr>
      <w:tblGrid>
        <w:gridCol w:w="1017"/>
        <w:gridCol w:w="2947"/>
        <w:gridCol w:w="1985"/>
        <w:gridCol w:w="1843"/>
        <w:gridCol w:w="1984"/>
      </w:tblGrid>
      <w:tr w:rsidR="00952BB6" w:rsidRPr="00952BB6" w14:paraId="3F5DAA37" w14:textId="77777777" w:rsidTr="00527B09">
        <w:tc>
          <w:tcPr>
            <w:tcW w:w="1017" w:type="dxa"/>
            <w:shd w:val="clear" w:color="auto" w:fill="D9D9D9" w:themeFill="background1" w:themeFillShade="D9"/>
            <w:vAlign w:val="center"/>
          </w:tcPr>
          <w:p w14:paraId="0B462952" w14:textId="77777777" w:rsidR="00952BB6" w:rsidRPr="007464D6" w:rsidRDefault="00952BB6" w:rsidP="00952BB6">
            <w:pPr>
              <w:jc w:val="center"/>
              <w:rPr>
                <w:b/>
                <w:bCs/>
              </w:rPr>
            </w:pPr>
            <w:r w:rsidRPr="007464D6">
              <w:rPr>
                <w:b/>
                <w:bCs/>
              </w:rPr>
              <w:t>Oznaka</w:t>
            </w:r>
          </w:p>
        </w:tc>
        <w:tc>
          <w:tcPr>
            <w:tcW w:w="2947" w:type="dxa"/>
            <w:shd w:val="clear" w:color="auto" w:fill="D9D9D9" w:themeFill="background1" w:themeFillShade="D9"/>
            <w:vAlign w:val="center"/>
          </w:tcPr>
          <w:p w14:paraId="1DABE3C4" w14:textId="77777777" w:rsidR="00952BB6" w:rsidRPr="007464D6" w:rsidRDefault="00952BB6" w:rsidP="00952BB6">
            <w:pPr>
              <w:jc w:val="center"/>
              <w:rPr>
                <w:b/>
                <w:bCs/>
              </w:rPr>
            </w:pPr>
            <w:r w:rsidRPr="007464D6">
              <w:rPr>
                <w:b/>
                <w:bCs/>
              </w:rPr>
              <w:t>Mjera</w:t>
            </w:r>
          </w:p>
        </w:tc>
        <w:tc>
          <w:tcPr>
            <w:tcW w:w="1985" w:type="dxa"/>
            <w:tcBorders>
              <w:bottom w:val="single" w:sz="4" w:space="0" w:color="auto"/>
            </w:tcBorders>
            <w:shd w:val="clear" w:color="auto" w:fill="D9D9D9" w:themeFill="background1" w:themeFillShade="D9"/>
          </w:tcPr>
          <w:p w14:paraId="201B285B" w14:textId="77777777" w:rsidR="008D5BD0" w:rsidRDefault="00952BB6" w:rsidP="00952BB6">
            <w:pPr>
              <w:jc w:val="center"/>
              <w:rPr>
                <w:b/>
                <w:bCs/>
              </w:rPr>
            </w:pPr>
            <w:r w:rsidRPr="007464D6">
              <w:rPr>
                <w:b/>
                <w:bCs/>
              </w:rPr>
              <w:t xml:space="preserve">Realizacija </w:t>
            </w:r>
          </w:p>
          <w:p w14:paraId="664DA54A" w14:textId="6984A0D6" w:rsidR="00952BB6" w:rsidRPr="007464D6" w:rsidRDefault="00952BB6" w:rsidP="00952BB6">
            <w:pPr>
              <w:jc w:val="center"/>
              <w:rPr>
                <w:b/>
                <w:bCs/>
              </w:rPr>
            </w:pPr>
            <w:r w:rsidRPr="007464D6">
              <w:rPr>
                <w:b/>
                <w:bCs/>
              </w:rPr>
              <w:t>202</w:t>
            </w:r>
            <w:r w:rsidR="007464D6" w:rsidRPr="007464D6">
              <w:rPr>
                <w:b/>
                <w:bCs/>
              </w:rPr>
              <w:t>3</w:t>
            </w:r>
            <w:r w:rsidRPr="007464D6">
              <w:rPr>
                <w:b/>
                <w:bCs/>
              </w:rPr>
              <w:t>.</w:t>
            </w:r>
          </w:p>
          <w:p w14:paraId="4BCAEA3A" w14:textId="088ACBDA" w:rsidR="00952BB6" w:rsidRPr="007464D6" w:rsidRDefault="00952BB6" w:rsidP="00952BB6">
            <w:pPr>
              <w:jc w:val="center"/>
              <w:rPr>
                <w:b/>
                <w:bCs/>
              </w:rPr>
            </w:pPr>
            <w:r w:rsidRPr="007464D6">
              <w:rPr>
                <w:b/>
                <w:bCs/>
              </w:rPr>
              <w:t>(</w:t>
            </w:r>
            <w:r w:rsidR="007464D6" w:rsidRPr="007464D6">
              <w:rPr>
                <w:b/>
                <w:bCs/>
              </w:rPr>
              <w:t>EUR</w:t>
            </w:r>
            <w:r w:rsidRPr="007464D6">
              <w:rPr>
                <w:b/>
                <w:bCs/>
              </w:rPr>
              <w:t>)</w:t>
            </w:r>
          </w:p>
        </w:tc>
        <w:tc>
          <w:tcPr>
            <w:tcW w:w="1843" w:type="dxa"/>
            <w:tcBorders>
              <w:bottom w:val="single" w:sz="4" w:space="0" w:color="auto"/>
            </w:tcBorders>
            <w:shd w:val="clear" w:color="auto" w:fill="D9D9D9" w:themeFill="background1" w:themeFillShade="D9"/>
            <w:vAlign w:val="center"/>
          </w:tcPr>
          <w:p w14:paraId="4288893D" w14:textId="01ECA8B9" w:rsidR="00952BB6" w:rsidRPr="007464D6" w:rsidRDefault="00952BB6" w:rsidP="00952BB6">
            <w:pPr>
              <w:jc w:val="center"/>
              <w:rPr>
                <w:b/>
                <w:bCs/>
              </w:rPr>
            </w:pPr>
            <w:r w:rsidRPr="007464D6">
              <w:rPr>
                <w:b/>
                <w:bCs/>
              </w:rPr>
              <w:t>Realizacija 202</w:t>
            </w:r>
            <w:r w:rsidR="007464D6" w:rsidRPr="007464D6">
              <w:rPr>
                <w:b/>
                <w:bCs/>
              </w:rPr>
              <w:t>4</w:t>
            </w:r>
            <w:r w:rsidRPr="007464D6">
              <w:rPr>
                <w:b/>
                <w:bCs/>
              </w:rPr>
              <w:t>.</w:t>
            </w:r>
          </w:p>
          <w:p w14:paraId="0B05BEA8" w14:textId="710834DC" w:rsidR="00952BB6" w:rsidRPr="007464D6" w:rsidRDefault="00952BB6" w:rsidP="00952BB6">
            <w:pPr>
              <w:jc w:val="center"/>
              <w:rPr>
                <w:b/>
                <w:bCs/>
              </w:rPr>
            </w:pPr>
            <w:r w:rsidRPr="007464D6">
              <w:rPr>
                <w:b/>
                <w:bCs/>
              </w:rPr>
              <w:t>(</w:t>
            </w:r>
            <w:r w:rsidR="007464D6" w:rsidRPr="007464D6">
              <w:rPr>
                <w:b/>
                <w:bCs/>
              </w:rPr>
              <w:t>EUR</w:t>
            </w:r>
            <w:r w:rsidRPr="007464D6">
              <w:rPr>
                <w:b/>
                <w:bCs/>
              </w:rPr>
              <w:t>)</w:t>
            </w:r>
          </w:p>
        </w:tc>
        <w:tc>
          <w:tcPr>
            <w:tcW w:w="1984" w:type="dxa"/>
            <w:tcBorders>
              <w:bottom w:val="single" w:sz="4" w:space="0" w:color="auto"/>
            </w:tcBorders>
            <w:shd w:val="clear" w:color="auto" w:fill="D9D9D9" w:themeFill="background1" w:themeFillShade="D9"/>
            <w:vAlign w:val="center"/>
          </w:tcPr>
          <w:p w14:paraId="766FF02B" w14:textId="5675AAD1" w:rsidR="00952BB6" w:rsidRPr="007464D6" w:rsidRDefault="00952BB6" w:rsidP="007464D6">
            <w:pPr>
              <w:jc w:val="center"/>
              <w:rPr>
                <w:b/>
                <w:bCs/>
              </w:rPr>
            </w:pPr>
            <w:r w:rsidRPr="007464D6">
              <w:rPr>
                <w:b/>
                <w:bCs/>
              </w:rPr>
              <w:t>UKUPNO (</w:t>
            </w:r>
            <w:r w:rsidR="007464D6" w:rsidRPr="007464D6">
              <w:rPr>
                <w:b/>
                <w:bCs/>
              </w:rPr>
              <w:t>EUR</w:t>
            </w:r>
            <w:r w:rsidRPr="007464D6">
              <w:rPr>
                <w:b/>
                <w:bCs/>
              </w:rPr>
              <w:t>)</w:t>
            </w:r>
          </w:p>
        </w:tc>
      </w:tr>
      <w:tr w:rsidR="00527B09" w:rsidRPr="00952BB6" w14:paraId="478C9A0E" w14:textId="77777777" w:rsidTr="00527B09">
        <w:tc>
          <w:tcPr>
            <w:tcW w:w="1017" w:type="dxa"/>
          </w:tcPr>
          <w:p w14:paraId="0757DEEB" w14:textId="77777777" w:rsidR="00527B09" w:rsidRPr="007464D6" w:rsidRDefault="00527B09" w:rsidP="00527B09">
            <w:pPr>
              <w:spacing w:before="60" w:after="60"/>
              <w:jc w:val="center"/>
              <w:rPr>
                <w:b/>
                <w:bCs/>
              </w:rPr>
            </w:pPr>
            <w:r w:rsidRPr="007464D6">
              <w:rPr>
                <w:b/>
                <w:bCs/>
              </w:rPr>
              <w:t>OIE</w:t>
            </w:r>
          </w:p>
        </w:tc>
        <w:tc>
          <w:tcPr>
            <w:tcW w:w="2947" w:type="dxa"/>
          </w:tcPr>
          <w:p w14:paraId="510F962B" w14:textId="77777777" w:rsidR="00527B09" w:rsidRPr="007464D6" w:rsidRDefault="00527B09" w:rsidP="00527B09">
            <w:pPr>
              <w:spacing w:before="60" w:after="60"/>
            </w:pPr>
            <w:r w:rsidRPr="007464D6">
              <w:t>Obnovljivi izvori energije</w:t>
            </w:r>
          </w:p>
        </w:tc>
        <w:tc>
          <w:tcPr>
            <w:tcW w:w="1985" w:type="dxa"/>
            <w:tcBorders>
              <w:top w:val="single" w:sz="4" w:space="0" w:color="auto"/>
              <w:left w:val="nil"/>
              <w:bottom w:val="single" w:sz="4" w:space="0" w:color="auto"/>
              <w:right w:val="single" w:sz="4" w:space="0" w:color="auto"/>
            </w:tcBorders>
            <w:vAlign w:val="center"/>
          </w:tcPr>
          <w:p w14:paraId="5E00BD52" w14:textId="5EE670D4" w:rsidR="00527B09" w:rsidRPr="00527B09" w:rsidRDefault="00527B09" w:rsidP="00527B09">
            <w:pPr>
              <w:spacing w:before="60" w:after="60"/>
              <w:jc w:val="center"/>
            </w:pPr>
            <w:r w:rsidRPr="00527B09">
              <w:t>7.439.370,77</w:t>
            </w:r>
          </w:p>
        </w:tc>
        <w:tc>
          <w:tcPr>
            <w:tcW w:w="1843" w:type="dxa"/>
            <w:tcBorders>
              <w:top w:val="single" w:sz="4" w:space="0" w:color="auto"/>
              <w:left w:val="single" w:sz="4" w:space="0" w:color="auto"/>
              <w:bottom w:val="single" w:sz="4" w:space="0" w:color="auto"/>
              <w:right w:val="single" w:sz="4" w:space="0" w:color="auto"/>
            </w:tcBorders>
            <w:vAlign w:val="center"/>
          </w:tcPr>
          <w:p w14:paraId="5D6BDA7D" w14:textId="4983542D" w:rsidR="00527B09" w:rsidRPr="00527B09" w:rsidRDefault="00527B09" w:rsidP="00527B09">
            <w:pPr>
              <w:spacing w:before="60" w:after="60"/>
              <w:jc w:val="center"/>
            </w:pPr>
            <w:r w:rsidRPr="00527B09">
              <w:t>15.523.948,98</w:t>
            </w:r>
          </w:p>
        </w:tc>
        <w:tc>
          <w:tcPr>
            <w:tcW w:w="1984" w:type="dxa"/>
            <w:tcBorders>
              <w:top w:val="single" w:sz="4" w:space="0" w:color="auto"/>
              <w:left w:val="single" w:sz="4" w:space="0" w:color="auto"/>
              <w:bottom w:val="single" w:sz="4" w:space="0" w:color="auto"/>
              <w:right w:val="single" w:sz="4" w:space="0" w:color="auto"/>
            </w:tcBorders>
            <w:vAlign w:val="center"/>
          </w:tcPr>
          <w:p w14:paraId="0DA9D63D" w14:textId="4E41100C" w:rsidR="00527B09" w:rsidRPr="00527B09" w:rsidRDefault="00527B09" w:rsidP="00527B09">
            <w:pPr>
              <w:spacing w:before="60" w:after="60"/>
              <w:jc w:val="center"/>
            </w:pPr>
            <w:r w:rsidRPr="00527B09">
              <w:t>22.963.319,75</w:t>
            </w:r>
          </w:p>
        </w:tc>
      </w:tr>
      <w:tr w:rsidR="00527B09" w:rsidRPr="00952BB6" w14:paraId="61995E5A" w14:textId="77777777" w:rsidTr="00527B09">
        <w:tc>
          <w:tcPr>
            <w:tcW w:w="1017" w:type="dxa"/>
          </w:tcPr>
          <w:p w14:paraId="77FEF841" w14:textId="77777777" w:rsidR="00527B09" w:rsidRPr="007464D6" w:rsidRDefault="00527B09" w:rsidP="00527B09">
            <w:pPr>
              <w:spacing w:before="60" w:after="60"/>
              <w:jc w:val="center"/>
              <w:rPr>
                <w:b/>
                <w:bCs/>
              </w:rPr>
            </w:pPr>
            <w:proofErr w:type="spellStart"/>
            <w:r w:rsidRPr="007464D6">
              <w:rPr>
                <w:b/>
                <w:bCs/>
              </w:rPr>
              <w:t>EnU</w:t>
            </w:r>
            <w:proofErr w:type="spellEnd"/>
          </w:p>
        </w:tc>
        <w:tc>
          <w:tcPr>
            <w:tcW w:w="2947" w:type="dxa"/>
          </w:tcPr>
          <w:p w14:paraId="0B86C868" w14:textId="77777777" w:rsidR="00527B09" w:rsidRPr="007464D6" w:rsidRDefault="00527B09" w:rsidP="00527B09">
            <w:pPr>
              <w:spacing w:before="60" w:after="60"/>
            </w:pPr>
            <w:r w:rsidRPr="007464D6">
              <w:t>Povećanje energetske učinkovitosti</w:t>
            </w:r>
          </w:p>
        </w:tc>
        <w:tc>
          <w:tcPr>
            <w:tcW w:w="1985" w:type="dxa"/>
            <w:tcBorders>
              <w:top w:val="single" w:sz="4" w:space="0" w:color="auto"/>
              <w:left w:val="nil"/>
              <w:bottom w:val="single" w:sz="4" w:space="0" w:color="auto"/>
              <w:right w:val="single" w:sz="4" w:space="0" w:color="auto"/>
            </w:tcBorders>
            <w:vAlign w:val="center"/>
          </w:tcPr>
          <w:p w14:paraId="4CC2FBBF" w14:textId="31118410" w:rsidR="00527B09" w:rsidRPr="00527B09" w:rsidRDefault="00527B09" w:rsidP="00527B09">
            <w:pPr>
              <w:spacing w:before="60" w:after="60"/>
              <w:jc w:val="center"/>
            </w:pPr>
            <w:r w:rsidRPr="00527B09">
              <w:t>18.648.449,86</w:t>
            </w:r>
          </w:p>
        </w:tc>
        <w:tc>
          <w:tcPr>
            <w:tcW w:w="1843" w:type="dxa"/>
            <w:tcBorders>
              <w:top w:val="single" w:sz="4" w:space="0" w:color="auto"/>
              <w:left w:val="single" w:sz="4" w:space="0" w:color="auto"/>
              <w:bottom w:val="single" w:sz="4" w:space="0" w:color="auto"/>
              <w:right w:val="single" w:sz="4" w:space="0" w:color="auto"/>
            </w:tcBorders>
            <w:vAlign w:val="center"/>
          </w:tcPr>
          <w:p w14:paraId="6F40B08A" w14:textId="08041C47" w:rsidR="00527B09" w:rsidRPr="00527B09" w:rsidRDefault="00527B09" w:rsidP="00527B09">
            <w:pPr>
              <w:spacing w:before="60" w:after="60"/>
              <w:jc w:val="center"/>
            </w:pPr>
            <w:r w:rsidRPr="00527B09">
              <w:t>21.744.402,12</w:t>
            </w:r>
          </w:p>
        </w:tc>
        <w:tc>
          <w:tcPr>
            <w:tcW w:w="1984" w:type="dxa"/>
            <w:tcBorders>
              <w:top w:val="single" w:sz="4" w:space="0" w:color="auto"/>
              <w:left w:val="single" w:sz="4" w:space="0" w:color="auto"/>
              <w:bottom w:val="single" w:sz="4" w:space="0" w:color="auto"/>
              <w:right w:val="single" w:sz="4" w:space="0" w:color="auto"/>
            </w:tcBorders>
            <w:vAlign w:val="center"/>
          </w:tcPr>
          <w:p w14:paraId="1FC19C64" w14:textId="20BD87B1" w:rsidR="00527B09" w:rsidRPr="00527B09" w:rsidRDefault="00527B09" w:rsidP="00527B09">
            <w:pPr>
              <w:spacing w:before="60" w:after="60"/>
              <w:jc w:val="center"/>
            </w:pPr>
            <w:r w:rsidRPr="00527B09">
              <w:t>40.392.851,98</w:t>
            </w:r>
          </w:p>
        </w:tc>
      </w:tr>
      <w:tr w:rsidR="00527B09" w:rsidRPr="00952BB6" w14:paraId="012BE49E" w14:textId="77777777" w:rsidTr="00527B09">
        <w:tc>
          <w:tcPr>
            <w:tcW w:w="1017" w:type="dxa"/>
          </w:tcPr>
          <w:p w14:paraId="53C57B1C" w14:textId="77777777" w:rsidR="00527B09" w:rsidRPr="007464D6" w:rsidRDefault="00527B09" w:rsidP="00527B09">
            <w:pPr>
              <w:spacing w:before="60" w:after="60"/>
              <w:jc w:val="center"/>
              <w:rPr>
                <w:b/>
                <w:bCs/>
              </w:rPr>
            </w:pPr>
            <w:r w:rsidRPr="007464D6">
              <w:rPr>
                <w:b/>
                <w:bCs/>
              </w:rPr>
              <w:t>ES</w:t>
            </w:r>
          </w:p>
        </w:tc>
        <w:tc>
          <w:tcPr>
            <w:tcW w:w="2947" w:type="dxa"/>
          </w:tcPr>
          <w:p w14:paraId="5A10C7E6" w14:textId="77777777" w:rsidR="00527B09" w:rsidRPr="007464D6" w:rsidRDefault="00527B09" w:rsidP="00527B09">
            <w:pPr>
              <w:spacing w:before="60" w:after="60"/>
            </w:pPr>
            <w:r w:rsidRPr="007464D6">
              <w:t>Energetsko siromaštvo</w:t>
            </w:r>
          </w:p>
        </w:tc>
        <w:tc>
          <w:tcPr>
            <w:tcW w:w="1985" w:type="dxa"/>
            <w:tcBorders>
              <w:top w:val="single" w:sz="4" w:space="0" w:color="auto"/>
              <w:left w:val="nil"/>
              <w:bottom w:val="single" w:sz="4" w:space="0" w:color="auto"/>
              <w:right w:val="single" w:sz="4" w:space="0" w:color="auto"/>
            </w:tcBorders>
            <w:vAlign w:val="center"/>
          </w:tcPr>
          <w:p w14:paraId="50D19D84" w14:textId="220B581C" w:rsidR="00527B09" w:rsidRPr="00527B09" w:rsidRDefault="00527B09" w:rsidP="00527B09">
            <w:pPr>
              <w:spacing w:before="60" w:after="60"/>
              <w:jc w:val="center"/>
            </w:pPr>
            <w:r w:rsidRPr="00527B09">
              <w:t>71.325.217,28</w:t>
            </w:r>
          </w:p>
        </w:tc>
        <w:tc>
          <w:tcPr>
            <w:tcW w:w="1843" w:type="dxa"/>
            <w:tcBorders>
              <w:top w:val="single" w:sz="4" w:space="0" w:color="auto"/>
              <w:left w:val="single" w:sz="4" w:space="0" w:color="auto"/>
              <w:bottom w:val="single" w:sz="4" w:space="0" w:color="auto"/>
              <w:right w:val="single" w:sz="4" w:space="0" w:color="auto"/>
            </w:tcBorders>
            <w:vAlign w:val="center"/>
          </w:tcPr>
          <w:p w14:paraId="1494BE6D" w14:textId="283FF69A" w:rsidR="00527B09" w:rsidRPr="00527B09" w:rsidRDefault="00527B09" w:rsidP="00527B09">
            <w:pPr>
              <w:spacing w:before="60" w:after="60"/>
              <w:jc w:val="center"/>
            </w:pPr>
            <w:r w:rsidRPr="00527B09">
              <w:t>91.040.513,07</w:t>
            </w:r>
          </w:p>
        </w:tc>
        <w:tc>
          <w:tcPr>
            <w:tcW w:w="1984" w:type="dxa"/>
            <w:tcBorders>
              <w:top w:val="single" w:sz="4" w:space="0" w:color="auto"/>
              <w:left w:val="single" w:sz="4" w:space="0" w:color="auto"/>
              <w:bottom w:val="single" w:sz="4" w:space="0" w:color="auto"/>
              <w:right w:val="single" w:sz="4" w:space="0" w:color="auto"/>
            </w:tcBorders>
            <w:vAlign w:val="center"/>
          </w:tcPr>
          <w:p w14:paraId="295A1D89" w14:textId="38E42FE9" w:rsidR="00527B09" w:rsidRPr="00527B09" w:rsidRDefault="00527B09" w:rsidP="00527B09">
            <w:pPr>
              <w:spacing w:before="60" w:after="60"/>
              <w:jc w:val="center"/>
            </w:pPr>
            <w:r w:rsidRPr="00527B09">
              <w:t>162.365.730,35</w:t>
            </w:r>
          </w:p>
        </w:tc>
      </w:tr>
      <w:tr w:rsidR="00527B09" w:rsidRPr="00952BB6" w14:paraId="376A8761" w14:textId="77777777" w:rsidTr="00527B09">
        <w:tc>
          <w:tcPr>
            <w:tcW w:w="1017" w:type="dxa"/>
          </w:tcPr>
          <w:p w14:paraId="0BEE3EB1" w14:textId="77777777" w:rsidR="00527B09" w:rsidRPr="007464D6" w:rsidRDefault="00527B09" w:rsidP="00527B09">
            <w:pPr>
              <w:spacing w:before="60" w:after="60"/>
              <w:jc w:val="center"/>
              <w:rPr>
                <w:b/>
                <w:bCs/>
              </w:rPr>
            </w:pPr>
            <w:r w:rsidRPr="007464D6">
              <w:rPr>
                <w:b/>
                <w:bCs/>
              </w:rPr>
              <w:t>PR</w:t>
            </w:r>
          </w:p>
        </w:tc>
        <w:tc>
          <w:tcPr>
            <w:tcW w:w="2947" w:type="dxa"/>
          </w:tcPr>
          <w:p w14:paraId="4DE7D61B" w14:textId="77777777" w:rsidR="00527B09" w:rsidRPr="007464D6" w:rsidRDefault="00527B09" w:rsidP="00527B09">
            <w:pPr>
              <w:spacing w:before="60" w:after="60"/>
            </w:pPr>
            <w:r w:rsidRPr="007464D6">
              <w:t>Smanjenje emisija stakleničkih plinova u prometu</w:t>
            </w:r>
          </w:p>
        </w:tc>
        <w:tc>
          <w:tcPr>
            <w:tcW w:w="1985" w:type="dxa"/>
            <w:tcBorders>
              <w:top w:val="single" w:sz="4" w:space="0" w:color="auto"/>
              <w:left w:val="nil"/>
              <w:bottom w:val="single" w:sz="4" w:space="0" w:color="auto"/>
              <w:right w:val="single" w:sz="4" w:space="0" w:color="auto"/>
            </w:tcBorders>
            <w:vAlign w:val="center"/>
          </w:tcPr>
          <w:p w14:paraId="520DABED" w14:textId="250EDFCD" w:rsidR="00527B09" w:rsidRPr="00527B09" w:rsidRDefault="00527B09" w:rsidP="00527B09">
            <w:pPr>
              <w:spacing w:before="60" w:after="60"/>
              <w:jc w:val="center"/>
            </w:pPr>
            <w:r w:rsidRPr="00527B09">
              <w:t>632.703,43</w:t>
            </w:r>
          </w:p>
        </w:tc>
        <w:tc>
          <w:tcPr>
            <w:tcW w:w="1843" w:type="dxa"/>
            <w:tcBorders>
              <w:top w:val="single" w:sz="4" w:space="0" w:color="auto"/>
              <w:left w:val="single" w:sz="4" w:space="0" w:color="auto"/>
              <w:bottom w:val="single" w:sz="4" w:space="0" w:color="auto"/>
              <w:right w:val="single" w:sz="4" w:space="0" w:color="auto"/>
            </w:tcBorders>
            <w:vAlign w:val="center"/>
          </w:tcPr>
          <w:p w14:paraId="71898AA5" w14:textId="46AC935D" w:rsidR="00527B09" w:rsidRPr="00527B09" w:rsidRDefault="00527B09" w:rsidP="00527B09">
            <w:pPr>
              <w:spacing w:before="60" w:after="60"/>
              <w:jc w:val="center"/>
            </w:pPr>
            <w:r w:rsidRPr="00527B09">
              <w:t>718.034,19</w:t>
            </w:r>
          </w:p>
        </w:tc>
        <w:tc>
          <w:tcPr>
            <w:tcW w:w="1984" w:type="dxa"/>
            <w:tcBorders>
              <w:top w:val="single" w:sz="4" w:space="0" w:color="auto"/>
              <w:left w:val="single" w:sz="4" w:space="0" w:color="auto"/>
              <w:bottom w:val="single" w:sz="4" w:space="0" w:color="auto"/>
              <w:right w:val="single" w:sz="4" w:space="0" w:color="auto"/>
            </w:tcBorders>
            <w:vAlign w:val="center"/>
          </w:tcPr>
          <w:p w14:paraId="4498DD31" w14:textId="659E3318" w:rsidR="00527B09" w:rsidRPr="00527B09" w:rsidRDefault="00527B09" w:rsidP="00527B09">
            <w:pPr>
              <w:spacing w:before="60" w:after="60"/>
              <w:jc w:val="center"/>
            </w:pPr>
            <w:r w:rsidRPr="00527B09">
              <w:t>1.350.737,62</w:t>
            </w:r>
          </w:p>
        </w:tc>
      </w:tr>
      <w:tr w:rsidR="00527B09" w:rsidRPr="00952BB6" w14:paraId="3BD9DC85" w14:textId="77777777" w:rsidTr="00527B09">
        <w:tc>
          <w:tcPr>
            <w:tcW w:w="1017" w:type="dxa"/>
          </w:tcPr>
          <w:p w14:paraId="0CD86145" w14:textId="77777777" w:rsidR="00527B09" w:rsidRPr="007464D6" w:rsidRDefault="00527B09" w:rsidP="00527B09">
            <w:pPr>
              <w:spacing w:before="60" w:after="60"/>
              <w:jc w:val="center"/>
              <w:rPr>
                <w:b/>
                <w:bCs/>
              </w:rPr>
            </w:pPr>
            <w:r w:rsidRPr="007464D6">
              <w:rPr>
                <w:b/>
                <w:bCs/>
              </w:rPr>
              <w:t>II</w:t>
            </w:r>
          </w:p>
        </w:tc>
        <w:tc>
          <w:tcPr>
            <w:tcW w:w="2947" w:type="dxa"/>
          </w:tcPr>
          <w:p w14:paraId="64183D0D" w14:textId="77777777" w:rsidR="00527B09" w:rsidRPr="007464D6" w:rsidRDefault="00527B09" w:rsidP="00527B09">
            <w:pPr>
              <w:spacing w:before="60" w:after="60"/>
            </w:pPr>
            <w:r w:rsidRPr="007464D6">
              <w:t>Istraživanje i inovacije</w:t>
            </w:r>
          </w:p>
        </w:tc>
        <w:tc>
          <w:tcPr>
            <w:tcW w:w="1985" w:type="dxa"/>
            <w:tcBorders>
              <w:top w:val="single" w:sz="4" w:space="0" w:color="auto"/>
              <w:left w:val="nil"/>
              <w:bottom w:val="single" w:sz="4" w:space="0" w:color="auto"/>
              <w:right w:val="single" w:sz="4" w:space="0" w:color="auto"/>
            </w:tcBorders>
            <w:vAlign w:val="center"/>
          </w:tcPr>
          <w:p w14:paraId="10EB0347" w14:textId="011B1789" w:rsidR="00527B09" w:rsidRPr="00527B09" w:rsidRDefault="00527B09" w:rsidP="00527B09">
            <w:pPr>
              <w:spacing w:before="60" w:after="60"/>
              <w:jc w:val="center"/>
            </w:pPr>
            <w:r w:rsidRPr="00527B09">
              <w:t>0</w:t>
            </w:r>
          </w:p>
        </w:tc>
        <w:tc>
          <w:tcPr>
            <w:tcW w:w="1843" w:type="dxa"/>
            <w:tcBorders>
              <w:top w:val="single" w:sz="4" w:space="0" w:color="auto"/>
              <w:left w:val="single" w:sz="4" w:space="0" w:color="auto"/>
              <w:bottom w:val="single" w:sz="4" w:space="0" w:color="auto"/>
              <w:right w:val="single" w:sz="4" w:space="0" w:color="auto"/>
            </w:tcBorders>
            <w:vAlign w:val="center"/>
          </w:tcPr>
          <w:p w14:paraId="22E96F52" w14:textId="076280E5" w:rsidR="00527B09" w:rsidRPr="00527B09" w:rsidRDefault="00527B09" w:rsidP="00527B09">
            <w:pPr>
              <w:spacing w:before="60" w:after="60"/>
              <w:jc w:val="center"/>
            </w:pPr>
            <w:r w:rsidRPr="00527B09">
              <w:t>161.007,57</w:t>
            </w:r>
          </w:p>
        </w:tc>
        <w:tc>
          <w:tcPr>
            <w:tcW w:w="1984" w:type="dxa"/>
            <w:tcBorders>
              <w:top w:val="single" w:sz="4" w:space="0" w:color="auto"/>
              <w:left w:val="single" w:sz="4" w:space="0" w:color="auto"/>
              <w:bottom w:val="single" w:sz="4" w:space="0" w:color="auto"/>
              <w:right w:val="single" w:sz="4" w:space="0" w:color="auto"/>
            </w:tcBorders>
            <w:vAlign w:val="center"/>
          </w:tcPr>
          <w:p w14:paraId="70605CED" w14:textId="68F7856A" w:rsidR="00527B09" w:rsidRPr="00527B09" w:rsidRDefault="00527B09" w:rsidP="00527B09">
            <w:pPr>
              <w:spacing w:before="60" w:after="60"/>
              <w:jc w:val="center"/>
            </w:pPr>
            <w:r w:rsidRPr="00527B09">
              <w:t>161.007,57</w:t>
            </w:r>
          </w:p>
        </w:tc>
      </w:tr>
      <w:tr w:rsidR="00527B09" w:rsidRPr="00952BB6" w14:paraId="265B29E6" w14:textId="77777777" w:rsidTr="00527B09">
        <w:tc>
          <w:tcPr>
            <w:tcW w:w="1017" w:type="dxa"/>
          </w:tcPr>
          <w:p w14:paraId="2FEDADDD" w14:textId="77777777" w:rsidR="00527B09" w:rsidRPr="00FC3197" w:rsidRDefault="00527B09" w:rsidP="00527B09">
            <w:pPr>
              <w:spacing w:before="60" w:after="60"/>
              <w:jc w:val="center"/>
              <w:rPr>
                <w:b/>
                <w:bCs/>
              </w:rPr>
            </w:pPr>
            <w:r w:rsidRPr="00FC3197">
              <w:rPr>
                <w:b/>
                <w:bCs/>
              </w:rPr>
              <w:t>NES</w:t>
            </w:r>
          </w:p>
        </w:tc>
        <w:tc>
          <w:tcPr>
            <w:tcW w:w="2947" w:type="dxa"/>
          </w:tcPr>
          <w:p w14:paraId="4C33BF11" w14:textId="77777777" w:rsidR="00527B09" w:rsidRPr="00FC3197" w:rsidRDefault="00527B09" w:rsidP="00527B09">
            <w:pPr>
              <w:spacing w:before="60" w:after="60"/>
            </w:pPr>
            <w:r w:rsidRPr="00FC3197">
              <w:t xml:space="preserve">Smanjenje emisija stakleničkih plinova u </w:t>
            </w:r>
            <w:proofErr w:type="spellStart"/>
            <w:r w:rsidRPr="00FC3197">
              <w:t>neenergetskom</w:t>
            </w:r>
            <w:proofErr w:type="spellEnd"/>
            <w:r w:rsidRPr="00FC3197">
              <w:t xml:space="preserve"> sektoru, uključujući industrijske procese</w:t>
            </w:r>
          </w:p>
        </w:tc>
        <w:tc>
          <w:tcPr>
            <w:tcW w:w="1985" w:type="dxa"/>
            <w:tcBorders>
              <w:top w:val="single" w:sz="4" w:space="0" w:color="auto"/>
            </w:tcBorders>
          </w:tcPr>
          <w:p w14:paraId="7835C976" w14:textId="509706C5" w:rsidR="00527B09" w:rsidRPr="00FC3197" w:rsidRDefault="00527B09" w:rsidP="00527B09">
            <w:pPr>
              <w:spacing w:before="60" w:after="60"/>
              <w:jc w:val="center"/>
            </w:pPr>
            <w:r w:rsidRPr="00FC3197">
              <w:rPr>
                <w:rFonts w:eastAsia="Times New Roman"/>
                <w:lang w:eastAsia="hr-HR"/>
              </w:rPr>
              <w:t>565.567,96</w:t>
            </w:r>
          </w:p>
        </w:tc>
        <w:tc>
          <w:tcPr>
            <w:tcW w:w="1843" w:type="dxa"/>
            <w:tcBorders>
              <w:top w:val="single" w:sz="4" w:space="0" w:color="auto"/>
            </w:tcBorders>
          </w:tcPr>
          <w:p w14:paraId="427EAF59" w14:textId="2FDBBFDE" w:rsidR="00527B09" w:rsidRPr="00FC3197" w:rsidRDefault="00527B09" w:rsidP="00527B09">
            <w:pPr>
              <w:spacing w:before="60" w:after="60"/>
              <w:jc w:val="center"/>
            </w:pPr>
            <w:r w:rsidRPr="00FC3197">
              <w:t>2.109.202,51</w:t>
            </w:r>
          </w:p>
        </w:tc>
        <w:tc>
          <w:tcPr>
            <w:tcW w:w="1984" w:type="dxa"/>
            <w:tcBorders>
              <w:top w:val="single" w:sz="4" w:space="0" w:color="auto"/>
            </w:tcBorders>
          </w:tcPr>
          <w:p w14:paraId="1119D05D" w14:textId="5A597606" w:rsidR="00527B09" w:rsidRPr="00FC3197" w:rsidRDefault="00527B09" w:rsidP="00527B09">
            <w:pPr>
              <w:spacing w:before="60" w:after="60"/>
              <w:jc w:val="center"/>
            </w:pPr>
            <w:r w:rsidRPr="00FC3197">
              <w:t>2.674.770,47</w:t>
            </w:r>
          </w:p>
        </w:tc>
      </w:tr>
      <w:tr w:rsidR="00527B09" w:rsidRPr="00952BB6" w14:paraId="5F55105F" w14:textId="77777777" w:rsidTr="00527B09">
        <w:tc>
          <w:tcPr>
            <w:tcW w:w="1017" w:type="dxa"/>
          </w:tcPr>
          <w:p w14:paraId="1263132E" w14:textId="77777777" w:rsidR="00527B09" w:rsidRPr="00FC3197" w:rsidRDefault="00527B09" w:rsidP="00527B09">
            <w:pPr>
              <w:spacing w:before="60" w:after="60"/>
              <w:jc w:val="center"/>
              <w:rPr>
                <w:b/>
                <w:bCs/>
              </w:rPr>
            </w:pPr>
            <w:r w:rsidRPr="00FC3197">
              <w:rPr>
                <w:b/>
                <w:bCs/>
              </w:rPr>
              <w:t>OT</w:t>
            </w:r>
          </w:p>
        </w:tc>
        <w:tc>
          <w:tcPr>
            <w:tcW w:w="2947" w:type="dxa"/>
          </w:tcPr>
          <w:p w14:paraId="7DE38F25" w14:textId="77777777" w:rsidR="00527B09" w:rsidRPr="00FC3197" w:rsidRDefault="00527B09" w:rsidP="00527B09">
            <w:pPr>
              <w:spacing w:before="60" w:after="60"/>
            </w:pPr>
            <w:r w:rsidRPr="00FC3197">
              <w:t>Smanjenje emisija stakleničkih plinova u sektoru gospodarenja otpadom</w:t>
            </w:r>
          </w:p>
        </w:tc>
        <w:tc>
          <w:tcPr>
            <w:tcW w:w="1985" w:type="dxa"/>
          </w:tcPr>
          <w:p w14:paraId="1DF76A91" w14:textId="308FFE27" w:rsidR="00527B09" w:rsidRPr="00FC3197" w:rsidRDefault="00527B09" w:rsidP="00527B09">
            <w:pPr>
              <w:spacing w:before="60" w:after="60"/>
              <w:jc w:val="center"/>
            </w:pPr>
            <w:r w:rsidRPr="00FC3197">
              <w:t>3.296.102,7</w:t>
            </w:r>
            <w:r>
              <w:t>8</w:t>
            </w:r>
          </w:p>
        </w:tc>
        <w:tc>
          <w:tcPr>
            <w:tcW w:w="1843" w:type="dxa"/>
          </w:tcPr>
          <w:p w14:paraId="37BFF459" w14:textId="0A4C79DB" w:rsidR="00527B09" w:rsidRPr="00FC3197" w:rsidRDefault="00527B09" w:rsidP="00527B09">
            <w:pPr>
              <w:spacing w:before="60" w:after="60"/>
              <w:jc w:val="center"/>
            </w:pPr>
            <w:r w:rsidRPr="00FC3197">
              <w:t>380.315,43</w:t>
            </w:r>
          </w:p>
        </w:tc>
        <w:tc>
          <w:tcPr>
            <w:tcW w:w="1984" w:type="dxa"/>
          </w:tcPr>
          <w:p w14:paraId="5A0DD299" w14:textId="396B4D87" w:rsidR="00527B09" w:rsidRPr="00FC3197" w:rsidRDefault="00527B09" w:rsidP="00527B09">
            <w:pPr>
              <w:spacing w:before="60" w:after="60"/>
              <w:jc w:val="center"/>
            </w:pPr>
            <w:r w:rsidRPr="00FC3197">
              <w:t>3.676.418,21</w:t>
            </w:r>
          </w:p>
        </w:tc>
      </w:tr>
      <w:tr w:rsidR="00527B09" w:rsidRPr="00952BB6" w14:paraId="7B42F9A0" w14:textId="77777777" w:rsidTr="00527B09">
        <w:tc>
          <w:tcPr>
            <w:tcW w:w="1017" w:type="dxa"/>
          </w:tcPr>
          <w:p w14:paraId="5D61EFB7" w14:textId="77777777" w:rsidR="00527B09" w:rsidRPr="00FC3197" w:rsidRDefault="00527B09" w:rsidP="00527B09">
            <w:pPr>
              <w:spacing w:before="60" w:after="60"/>
              <w:jc w:val="center"/>
              <w:rPr>
                <w:b/>
                <w:bCs/>
              </w:rPr>
            </w:pPr>
            <w:r w:rsidRPr="00FC3197">
              <w:rPr>
                <w:b/>
                <w:bCs/>
              </w:rPr>
              <w:t>CK</w:t>
            </w:r>
          </w:p>
        </w:tc>
        <w:tc>
          <w:tcPr>
            <w:tcW w:w="2947" w:type="dxa"/>
          </w:tcPr>
          <w:p w14:paraId="11362C34" w14:textId="77777777" w:rsidR="00527B09" w:rsidRPr="00FC3197" w:rsidRDefault="00527B09" w:rsidP="00527B09">
            <w:pPr>
              <w:spacing w:before="60" w:after="60"/>
            </w:pPr>
            <w:r w:rsidRPr="00FC3197">
              <w:t>Centar za klimu</w:t>
            </w:r>
          </w:p>
        </w:tc>
        <w:tc>
          <w:tcPr>
            <w:tcW w:w="1985" w:type="dxa"/>
          </w:tcPr>
          <w:p w14:paraId="664A8FDE" w14:textId="77777777" w:rsidR="00527B09" w:rsidRPr="00FC3197" w:rsidRDefault="00527B09" w:rsidP="00527B09">
            <w:pPr>
              <w:spacing w:before="60" w:after="60"/>
              <w:jc w:val="center"/>
            </w:pPr>
            <w:r w:rsidRPr="00FC3197">
              <w:t>0,00</w:t>
            </w:r>
          </w:p>
        </w:tc>
        <w:tc>
          <w:tcPr>
            <w:tcW w:w="1843" w:type="dxa"/>
          </w:tcPr>
          <w:p w14:paraId="557E34B4" w14:textId="77777777" w:rsidR="00527B09" w:rsidRPr="00FC3197" w:rsidRDefault="00527B09" w:rsidP="00527B09">
            <w:pPr>
              <w:spacing w:before="60" w:after="60"/>
              <w:jc w:val="center"/>
            </w:pPr>
            <w:r w:rsidRPr="00FC3197">
              <w:t>0,00</w:t>
            </w:r>
          </w:p>
        </w:tc>
        <w:tc>
          <w:tcPr>
            <w:tcW w:w="1984" w:type="dxa"/>
          </w:tcPr>
          <w:p w14:paraId="65B8BD4C" w14:textId="77777777" w:rsidR="00527B09" w:rsidRPr="00FC3197" w:rsidRDefault="00527B09" w:rsidP="00527B09">
            <w:pPr>
              <w:spacing w:before="60" w:after="60"/>
              <w:jc w:val="center"/>
            </w:pPr>
            <w:r w:rsidRPr="00FC3197">
              <w:t>0,00</w:t>
            </w:r>
          </w:p>
        </w:tc>
      </w:tr>
      <w:tr w:rsidR="00527B09" w:rsidRPr="00952BB6" w14:paraId="6CE6A3AF" w14:textId="77777777" w:rsidTr="00527B09">
        <w:tc>
          <w:tcPr>
            <w:tcW w:w="1017" w:type="dxa"/>
          </w:tcPr>
          <w:p w14:paraId="536F7A57" w14:textId="77777777" w:rsidR="00527B09" w:rsidRPr="00FC3197" w:rsidRDefault="00527B09" w:rsidP="00527B09">
            <w:pPr>
              <w:spacing w:before="60" w:after="60"/>
              <w:jc w:val="center"/>
              <w:rPr>
                <w:b/>
                <w:bCs/>
              </w:rPr>
            </w:pPr>
            <w:r w:rsidRPr="00FC3197">
              <w:rPr>
                <w:b/>
                <w:bCs/>
              </w:rPr>
              <w:t>SPKP</w:t>
            </w:r>
          </w:p>
        </w:tc>
        <w:tc>
          <w:tcPr>
            <w:tcW w:w="2947" w:type="dxa"/>
          </w:tcPr>
          <w:p w14:paraId="76B54853" w14:textId="77777777" w:rsidR="00527B09" w:rsidRPr="00FC3197" w:rsidRDefault="00527B09" w:rsidP="00527B09">
            <w:pPr>
              <w:spacing w:before="60" w:after="60"/>
            </w:pPr>
            <w:r w:rsidRPr="00FC3197">
              <w:t>Strategija prilagodbe klimatskim promjenama</w:t>
            </w:r>
          </w:p>
        </w:tc>
        <w:tc>
          <w:tcPr>
            <w:tcW w:w="1985" w:type="dxa"/>
          </w:tcPr>
          <w:p w14:paraId="23A4877F" w14:textId="088BE5F4" w:rsidR="00527B09" w:rsidRPr="00FC3197" w:rsidRDefault="00527B09" w:rsidP="00527B09">
            <w:pPr>
              <w:spacing w:before="60" w:after="60"/>
              <w:jc w:val="center"/>
            </w:pPr>
            <w:r w:rsidRPr="00FC3197">
              <w:t>1.495.940,86</w:t>
            </w:r>
          </w:p>
        </w:tc>
        <w:tc>
          <w:tcPr>
            <w:tcW w:w="1843" w:type="dxa"/>
          </w:tcPr>
          <w:p w14:paraId="79EEE9FA" w14:textId="5B86201C" w:rsidR="00527B09" w:rsidRPr="00FC3197" w:rsidRDefault="00527B09" w:rsidP="00527B09">
            <w:pPr>
              <w:spacing w:before="60" w:after="60"/>
              <w:jc w:val="center"/>
            </w:pPr>
            <w:r w:rsidRPr="00FC3197">
              <w:t>5.329.336,16</w:t>
            </w:r>
          </w:p>
        </w:tc>
        <w:tc>
          <w:tcPr>
            <w:tcW w:w="1984" w:type="dxa"/>
          </w:tcPr>
          <w:p w14:paraId="5D9309AA" w14:textId="71AD585C" w:rsidR="00527B09" w:rsidRPr="00FC3197" w:rsidRDefault="00527B09" w:rsidP="00527B09">
            <w:pPr>
              <w:spacing w:before="60" w:after="60"/>
              <w:jc w:val="center"/>
            </w:pPr>
            <w:r w:rsidRPr="00FC3197">
              <w:t>6.825.277,02</w:t>
            </w:r>
          </w:p>
        </w:tc>
      </w:tr>
      <w:tr w:rsidR="00527B09" w:rsidRPr="00952BB6" w14:paraId="1314E4A9" w14:textId="77777777" w:rsidTr="00527B09">
        <w:tc>
          <w:tcPr>
            <w:tcW w:w="1017" w:type="dxa"/>
          </w:tcPr>
          <w:p w14:paraId="6722641D" w14:textId="77777777" w:rsidR="00527B09" w:rsidRPr="00FC3197" w:rsidRDefault="00527B09" w:rsidP="00527B09">
            <w:pPr>
              <w:spacing w:before="60" w:after="60"/>
              <w:jc w:val="center"/>
              <w:rPr>
                <w:b/>
                <w:bCs/>
              </w:rPr>
            </w:pPr>
            <w:r w:rsidRPr="00FC3197">
              <w:rPr>
                <w:b/>
                <w:bCs/>
              </w:rPr>
              <w:t>BIO</w:t>
            </w:r>
          </w:p>
        </w:tc>
        <w:tc>
          <w:tcPr>
            <w:tcW w:w="2947" w:type="dxa"/>
          </w:tcPr>
          <w:p w14:paraId="2D6789F9" w14:textId="77777777" w:rsidR="00527B09" w:rsidRPr="00FC3197" w:rsidRDefault="00527B09" w:rsidP="00527B09">
            <w:pPr>
              <w:spacing w:before="60" w:after="60"/>
            </w:pPr>
            <w:r w:rsidRPr="00FC3197">
              <w:t>Bioraznolikost i usluge ekosustava</w:t>
            </w:r>
          </w:p>
        </w:tc>
        <w:tc>
          <w:tcPr>
            <w:tcW w:w="1985" w:type="dxa"/>
          </w:tcPr>
          <w:p w14:paraId="7824DC56" w14:textId="15AE8602" w:rsidR="00527B09" w:rsidRPr="00FC3197" w:rsidRDefault="00527B09" w:rsidP="00527B09">
            <w:pPr>
              <w:spacing w:before="60" w:after="60"/>
              <w:jc w:val="center"/>
            </w:pPr>
            <w:r w:rsidRPr="00FC3197">
              <w:rPr>
                <w:rFonts w:eastAsia="Times New Roman"/>
                <w:lang w:eastAsia="hr-HR"/>
              </w:rPr>
              <w:t>1.590.969,89</w:t>
            </w:r>
          </w:p>
        </w:tc>
        <w:tc>
          <w:tcPr>
            <w:tcW w:w="1843" w:type="dxa"/>
          </w:tcPr>
          <w:p w14:paraId="3925C900" w14:textId="6BCCA81B" w:rsidR="00527B09" w:rsidRPr="00FC3197" w:rsidRDefault="00527B09" w:rsidP="00527B09">
            <w:pPr>
              <w:spacing w:before="60" w:after="60"/>
              <w:jc w:val="center"/>
            </w:pPr>
            <w:r w:rsidRPr="00FC3197">
              <w:t>1.965.890,36</w:t>
            </w:r>
          </w:p>
        </w:tc>
        <w:tc>
          <w:tcPr>
            <w:tcW w:w="1984" w:type="dxa"/>
          </w:tcPr>
          <w:p w14:paraId="799CE548" w14:textId="769BDC97" w:rsidR="00527B09" w:rsidRPr="00FC3197" w:rsidRDefault="00527B09" w:rsidP="00527B09">
            <w:pPr>
              <w:spacing w:before="60" w:after="60"/>
              <w:jc w:val="center"/>
            </w:pPr>
            <w:r w:rsidRPr="00FC3197">
              <w:t>3.556.860,25</w:t>
            </w:r>
          </w:p>
        </w:tc>
      </w:tr>
      <w:tr w:rsidR="00527B09" w:rsidRPr="00952BB6" w14:paraId="4E56E56E" w14:textId="77777777" w:rsidTr="00527B09">
        <w:tc>
          <w:tcPr>
            <w:tcW w:w="1017" w:type="dxa"/>
          </w:tcPr>
          <w:p w14:paraId="2394D148" w14:textId="77777777" w:rsidR="00527B09" w:rsidRPr="00FC3197" w:rsidRDefault="00527B09" w:rsidP="00527B09">
            <w:pPr>
              <w:spacing w:before="60" w:after="60"/>
              <w:jc w:val="center"/>
              <w:rPr>
                <w:b/>
                <w:bCs/>
              </w:rPr>
            </w:pPr>
            <w:r w:rsidRPr="00FC3197">
              <w:rPr>
                <w:b/>
                <w:bCs/>
              </w:rPr>
              <w:t>IRSP</w:t>
            </w:r>
          </w:p>
        </w:tc>
        <w:tc>
          <w:tcPr>
            <w:tcW w:w="2947" w:type="dxa"/>
          </w:tcPr>
          <w:p w14:paraId="1F2D7F3D" w14:textId="77777777" w:rsidR="00527B09" w:rsidRPr="00FC3197" w:rsidRDefault="00527B09" w:rsidP="00527B09">
            <w:pPr>
              <w:spacing w:before="60" w:after="60"/>
            </w:pPr>
            <w:r w:rsidRPr="00FC3197">
              <w:t>Istraživanje i razvoj, stručna podrška</w:t>
            </w:r>
          </w:p>
        </w:tc>
        <w:tc>
          <w:tcPr>
            <w:tcW w:w="1985" w:type="dxa"/>
          </w:tcPr>
          <w:p w14:paraId="2F7716F6" w14:textId="3E9FEADD" w:rsidR="00527B09" w:rsidRPr="00FC3197" w:rsidRDefault="00527B09" w:rsidP="00527B09">
            <w:pPr>
              <w:spacing w:before="60" w:after="60"/>
              <w:jc w:val="center"/>
            </w:pPr>
            <w:r w:rsidRPr="00FC3197">
              <w:rPr>
                <w:rFonts w:eastAsia="Times New Roman"/>
                <w:lang w:eastAsia="hr-HR"/>
              </w:rPr>
              <w:t>487.402,87</w:t>
            </w:r>
          </w:p>
        </w:tc>
        <w:tc>
          <w:tcPr>
            <w:tcW w:w="1843" w:type="dxa"/>
          </w:tcPr>
          <w:p w14:paraId="06B8A001" w14:textId="499BBF17" w:rsidR="00527B09" w:rsidRPr="00FC3197" w:rsidRDefault="00527B09" w:rsidP="00527B09">
            <w:pPr>
              <w:spacing w:before="60" w:after="60"/>
              <w:jc w:val="center"/>
            </w:pPr>
            <w:r w:rsidRPr="00FC3197">
              <w:t>828.046,60</w:t>
            </w:r>
          </w:p>
        </w:tc>
        <w:tc>
          <w:tcPr>
            <w:tcW w:w="1984" w:type="dxa"/>
          </w:tcPr>
          <w:p w14:paraId="73DF0886" w14:textId="0090C35D" w:rsidR="00527B09" w:rsidRPr="00FC3197" w:rsidRDefault="00527B09" w:rsidP="00527B09">
            <w:pPr>
              <w:spacing w:before="60" w:after="60"/>
              <w:jc w:val="center"/>
            </w:pPr>
            <w:r w:rsidRPr="00FC3197">
              <w:t>1.315.449,47</w:t>
            </w:r>
          </w:p>
        </w:tc>
      </w:tr>
      <w:tr w:rsidR="00527B09" w:rsidRPr="00952BB6" w14:paraId="14399031" w14:textId="77777777" w:rsidTr="00527B09">
        <w:tc>
          <w:tcPr>
            <w:tcW w:w="1017" w:type="dxa"/>
          </w:tcPr>
          <w:p w14:paraId="76AC8466" w14:textId="77777777" w:rsidR="00527B09" w:rsidRPr="00FC3197" w:rsidRDefault="00527B09" w:rsidP="00527B09">
            <w:pPr>
              <w:spacing w:before="60" w:after="60"/>
              <w:jc w:val="center"/>
              <w:rPr>
                <w:b/>
                <w:bCs/>
              </w:rPr>
            </w:pPr>
            <w:r w:rsidRPr="00FC3197">
              <w:rPr>
                <w:b/>
                <w:bCs/>
              </w:rPr>
              <w:t>TZ</w:t>
            </w:r>
          </w:p>
        </w:tc>
        <w:tc>
          <w:tcPr>
            <w:tcW w:w="2947" w:type="dxa"/>
          </w:tcPr>
          <w:p w14:paraId="53603C48" w14:textId="77777777" w:rsidR="00527B09" w:rsidRPr="00FC3197" w:rsidRDefault="00527B09" w:rsidP="00527B09">
            <w:pPr>
              <w:spacing w:before="60" w:after="60"/>
            </w:pPr>
            <w:r w:rsidRPr="00FC3197">
              <w:t>Projekti s trećim zemljama</w:t>
            </w:r>
          </w:p>
        </w:tc>
        <w:tc>
          <w:tcPr>
            <w:tcW w:w="1985" w:type="dxa"/>
            <w:tcBorders>
              <w:bottom w:val="single" w:sz="4" w:space="0" w:color="auto"/>
            </w:tcBorders>
          </w:tcPr>
          <w:p w14:paraId="2DF5807B" w14:textId="77777777" w:rsidR="00527B09" w:rsidRPr="00FC3197" w:rsidRDefault="00527B09" w:rsidP="00527B09">
            <w:pPr>
              <w:spacing w:before="60" w:after="60"/>
              <w:jc w:val="center"/>
            </w:pPr>
            <w:r w:rsidRPr="00FC3197">
              <w:t>0,00</w:t>
            </w:r>
          </w:p>
        </w:tc>
        <w:tc>
          <w:tcPr>
            <w:tcW w:w="1843" w:type="dxa"/>
            <w:tcBorders>
              <w:bottom w:val="single" w:sz="4" w:space="0" w:color="auto"/>
            </w:tcBorders>
          </w:tcPr>
          <w:p w14:paraId="3E4EBEDB" w14:textId="77777777" w:rsidR="00527B09" w:rsidRPr="00FC3197" w:rsidRDefault="00527B09" w:rsidP="00527B09">
            <w:pPr>
              <w:spacing w:before="60" w:after="60"/>
              <w:jc w:val="center"/>
            </w:pPr>
            <w:r w:rsidRPr="00FC3197">
              <w:t>0,00</w:t>
            </w:r>
          </w:p>
        </w:tc>
        <w:tc>
          <w:tcPr>
            <w:tcW w:w="1984" w:type="dxa"/>
            <w:tcBorders>
              <w:bottom w:val="single" w:sz="4" w:space="0" w:color="auto"/>
            </w:tcBorders>
          </w:tcPr>
          <w:p w14:paraId="6DFCBF08" w14:textId="77777777" w:rsidR="00527B09" w:rsidRPr="00FC3197" w:rsidRDefault="00527B09" w:rsidP="00527B09">
            <w:pPr>
              <w:spacing w:before="60" w:after="60"/>
              <w:jc w:val="center"/>
            </w:pPr>
            <w:r w:rsidRPr="00FC3197">
              <w:t>0,00</w:t>
            </w:r>
          </w:p>
        </w:tc>
      </w:tr>
      <w:tr w:rsidR="00527B09" w:rsidRPr="00952BB6" w14:paraId="4726C52F" w14:textId="77777777" w:rsidTr="00527B09">
        <w:tc>
          <w:tcPr>
            <w:tcW w:w="1017" w:type="dxa"/>
          </w:tcPr>
          <w:p w14:paraId="7F5D6C0F" w14:textId="77777777" w:rsidR="00527B09" w:rsidRPr="00952BB6" w:rsidRDefault="00527B09" w:rsidP="00527B09">
            <w:pPr>
              <w:spacing w:before="60" w:after="60"/>
              <w:jc w:val="center"/>
              <w:rPr>
                <w:highlight w:val="yellow"/>
              </w:rPr>
            </w:pPr>
          </w:p>
        </w:tc>
        <w:tc>
          <w:tcPr>
            <w:tcW w:w="2947" w:type="dxa"/>
            <w:vAlign w:val="center"/>
          </w:tcPr>
          <w:p w14:paraId="3E07677F" w14:textId="77777777" w:rsidR="00527B09" w:rsidRPr="00527B09" w:rsidRDefault="00527B09" w:rsidP="00527B09">
            <w:pPr>
              <w:spacing w:before="60" w:after="60"/>
              <w:jc w:val="right"/>
              <w:rPr>
                <w:b/>
                <w:bCs/>
              </w:rPr>
            </w:pPr>
            <w:r w:rsidRPr="00527B09">
              <w:rPr>
                <w:b/>
                <w:bCs/>
              </w:rPr>
              <w:t>SVEUKUPNO</w:t>
            </w:r>
          </w:p>
        </w:tc>
        <w:tc>
          <w:tcPr>
            <w:tcW w:w="1985" w:type="dxa"/>
            <w:tcBorders>
              <w:top w:val="single" w:sz="4" w:space="0" w:color="auto"/>
              <w:left w:val="nil"/>
              <w:bottom w:val="single" w:sz="4" w:space="0" w:color="auto"/>
              <w:right w:val="single" w:sz="4" w:space="0" w:color="auto"/>
            </w:tcBorders>
            <w:vAlign w:val="center"/>
          </w:tcPr>
          <w:p w14:paraId="3D1A4A47" w14:textId="44744618" w:rsidR="00527B09" w:rsidRPr="00527B09" w:rsidRDefault="00527B09" w:rsidP="00527B09">
            <w:pPr>
              <w:spacing w:before="60" w:after="60"/>
              <w:jc w:val="center"/>
              <w:rPr>
                <w:b/>
                <w:bCs/>
              </w:rPr>
            </w:pPr>
            <w:r w:rsidRPr="00527B09">
              <w:rPr>
                <w:b/>
                <w:bCs/>
              </w:rPr>
              <w:t>105.481.725,70</w:t>
            </w:r>
          </w:p>
        </w:tc>
        <w:tc>
          <w:tcPr>
            <w:tcW w:w="1843" w:type="dxa"/>
            <w:tcBorders>
              <w:top w:val="single" w:sz="4" w:space="0" w:color="auto"/>
              <w:left w:val="single" w:sz="4" w:space="0" w:color="auto"/>
              <w:bottom w:val="single" w:sz="4" w:space="0" w:color="auto"/>
              <w:right w:val="single" w:sz="4" w:space="0" w:color="auto"/>
            </w:tcBorders>
            <w:vAlign w:val="center"/>
          </w:tcPr>
          <w:p w14:paraId="34A06926" w14:textId="3BB1E128" w:rsidR="00527B09" w:rsidRPr="00527B09" w:rsidRDefault="00527B09" w:rsidP="00527B09">
            <w:pPr>
              <w:spacing w:before="60" w:after="60"/>
              <w:jc w:val="center"/>
              <w:rPr>
                <w:b/>
                <w:bCs/>
              </w:rPr>
            </w:pPr>
            <w:r w:rsidRPr="00527B09">
              <w:rPr>
                <w:b/>
                <w:bCs/>
              </w:rPr>
              <w:t>139.800.696,99</w:t>
            </w:r>
          </w:p>
        </w:tc>
        <w:tc>
          <w:tcPr>
            <w:tcW w:w="1984" w:type="dxa"/>
            <w:tcBorders>
              <w:top w:val="single" w:sz="4" w:space="0" w:color="auto"/>
              <w:left w:val="single" w:sz="4" w:space="0" w:color="auto"/>
              <w:bottom w:val="single" w:sz="4" w:space="0" w:color="auto"/>
              <w:right w:val="single" w:sz="4" w:space="0" w:color="auto"/>
            </w:tcBorders>
            <w:vAlign w:val="center"/>
          </w:tcPr>
          <w:p w14:paraId="08EEAB1A" w14:textId="32179E96" w:rsidR="00527B09" w:rsidRPr="00527B09" w:rsidRDefault="00527B09" w:rsidP="00527B09">
            <w:pPr>
              <w:spacing w:before="60" w:after="60"/>
              <w:jc w:val="center"/>
              <w:rPr>
                <w:b/>
                <w:bCs/>
              </w:rPr>
            </w:pPr>
            <w:r w:rsidRPr="00527B09">
              <w:rPr>
                <w:b/>
                <w:bCs/>
              </w:rPr>
              <w:t>245.282.422,69</w:t>
            </w:r>
          </w:p>
        </w:tc>
      </w:tr>
    </w:tbl>
    <w:p w14:paraId="35677384" w14:textId="77777777" w:rsidR="00952BB6" w:rsidRPr="00952BB6" w:rsidRDefault="00952BB6" w:rsidP="00952BB6">
      <w:pPr>
        <w:spacing w:before="240" w:after="60" w:line="240" w:lineRule="auto"/>
        <w:rPr>
          <w:b/>
          <w:bCs/>
          <w:highlight w:val="yellow"/>
        </w:rPr>
      </w:pPr>
    </w:p>
    <w:p w14:paraId="5CC767D1" w14:textId="6D6A5A60" w:rsidR="00952BB6" w:rsidRPr="00DD0708" w:rsidRDefault="00952BB6" w:rsidP="00952BB6">
      <w:pPr>
        <w:spacing w:before="240" w:after="60"/>
      </w:pPr>
      <w:r w:rsidRPr="00DD0708">
        <w:rPr>
          <w:b/>
          <w:bCs/>
        </w:rPr>
        <w:t xml:space="preserve">Poglavlje </w:t>
      </w:r>
      <w:r w:rsidR="00AC005A">
        <w:rPr>
          <w:b/>
          <w:bCs/>
        </w:rPr>
        <w:t>4</w:t>
      </w:r>
      <w:r w:rsidRPr="00DD0708">
        <w:rPr>
          <w:b/>
          <w:bCs/>
        </w:rPr>
        <w:t>.2</w:t>
      </w:r>
      <w:r w:rsidRPr="00AC005A">
        <w:rPr>
          <w:b/>
          <w:bCs/>
        </w:rPr>
        <w:t>.</w:t>
      </w:r>
      <w:r w:rsidRPr="00DD0708">
        <w:t xml:space="preserve"> ovoga Izvješća sadrži </w:t>
      </w:r>
      <w:r w:rsidR="00AC005A">
        <w:t>raspodjelu</w:t>
      </w:r>
      <w:r w:rsidRPr="00DD0708">
        <w:t xml:space="preserve"> financijskih sredstava dobivenih od prodaje emisijskih jedinica putem dražbi u 202</w:t>
      </w:r>
      <w:r w:rsidR="00DD0708" w:rsidRPr="00DD0708">
        <w:t>3</w:t>
      </w:r>
      <w:r w:rsidRPr="00DD0708">
        <w:t>. i 202</w:t>
      </w:r>
      <w:r w:rsidR="00DD0708" w:rsidRPr="00DD0708">
        <w:t>4</w:t>
      </w:r>
      <w:r w:rsidRPr="00DD0708">
        <w:t>. godini te opis korištenja istih po projektima i po prioritetnim mjerama (područjima) Plana II</w:t>
      </w:r>
      <w:r w:rsidR="00D6775C">
        <w:t>.</w:t>
      </w:r>
    </w:p>
    <w:p w14:paraId="68E6A719" w14:textId="77777777" w:rsidR="00952BB6" w:rsidRPr="00952BB6" w:rsidRDefault="00952BB6" w:rsidP="00952BB6">
      <w:pPr>
        <w:rPr>
          <w:highlight w:val="yellow"/>
        </w:rPr>
      </w:pPr>
      <w:r w:rsidRPr="00952BB6">
        <w:rPr>
          <w:highlight w:val="yellow"/>
        </w:rPr>
        <w:br w:type="page"/>
      </w:r>
    </w:p>
    <w:p w14:paraId="2861CCEE" w14:textId="7C954D0E" w:rsidR="00952BB6" w:rsidRDefault="00077A5D" w:rsidP="00DF23D5">
      <w:pPr>
        <w:pStyle w:val="Naslov2"/>
        <w:numPr>
          <w:ilvl w:val="0"/>
          <w:numId w:val="0"/>
        </w:numPr>
        <w:ind w:left="567"/>
        <w:rPr>
          <w:rFonts w:ascii="Times New Roman" w:hAnsi="Times New Roman" w:cs="Times New Roman"/>
          <w:sz w:val="24"/>
          <w:szCs w:val="24"/>
        </w:rPr>
      </w:pPr>
      <w:bookmarkStart w:id="34" w:name="_Toc156830340"/>
      <w:bookmarkStart w:id="35" w:name="_Toc226980235"/>
      <w:r>
        <w:rPr>
          <w:rFonts w:ascii="Times New Roman" w:hAnsi="Times New Roman" w:cs="Times New Roman"/>
          <w:sz w:val="24"/>
          <w:szCs w:val="24"/>
        </w:rPr>
        <w:lastRenderedPageBreak/>
        <w:t>4</w:t>
      </w:r>
      <w:r w:rsidR="00DF23D5">
        <w:rPr>
          <w:rFonts w:ascii="Times New Roman" w:hAnsi="Times New Roman" w:cs="Times New Roman"/>
          <w:sz w:val="24"/>
          <w:szCs w:val="24"/>
        </w:rPr>
        <w:t xml:space="preserve">.2. </w:t>
      </w:r>
      <w:r w:rsidR="00DF23D5" w:rsidRPr="00DF23D5">
        <w:rPr>
          <w:rFonts w:ascii="Times New Roman" w:hAnsi="Times New Roman" w:cs="Times New Roman"/>
          <w:sz w:val="24"/>
          <w:szCs w:val="24"/>
        </w:rPr>
        <w:t>Opis korištenja financijskih sredstava dobivenih od prodaje emisijskih jedinica stakleničkih plinova putem dražbi po projektima i po prioritetnim mjerama</w:t>
      </w:r>
      <w:r w:rsidR="00952BB6" w:rsidRPr="00DF23D5">
        <w:rPr>
          <w:rFonts w:ascii="Times New Roman" w:hAnsi="Times New Roman" w:cs="Times New Roman"/>
          <w:sz w:val="24"/>
          <w:szCs w:val="24"/>
        </w:rPr>
        <w:t xml:space="preserve"> </w:t>
      </w:r>
      <w:r w:rsidR="00DF23D5">
        <w:rPr>
          <w:rFonts w:ascii="Times New Roman" w:hAnsi="Times New Roman" w:cs="Times New Roman"/>
          <w:sz w:val="24"/>
          <w:szCs w:val="24"/>
        </w:rPr>
        <w:t xml:space="preserve">sukladno </w:t>
      </w:r>
      <w:r w:rsidR="00952BB6" w:rsidRPr="00DF23D5">
        <w:rPr>
          <w:rFonts w:ascii="Times New Roman" w:hAnsi="Times New Roman" w:cs="Times New Roman"/>
          <w:sz w:val="24"/>
          <w:szCs w:val="24"/>
        </w:rPr>
        <w:t>Planu II</w:t>
      </w:r>
      <w:r w:rsidR="00097A60" w:rsidRPr="00DF23D5">
        <w:rPr>
          <w:rFonts w:ascii="Times New Roman" w:hAnsi="Times New Roman" w:cs="Times New Roman"/>
          <w:sz w:val="24"/>
          <w:szCs w:val="24"/>
        </w:rPr>
        <w:t>.</w:t>
      </w:r>
      <w:bookmarkEnd w:id="34"/>
      <w:bookmarkEnd w:id="35"/>
    </w:p>
    <w:p w14:paraId="1D85694D" w14:textId="77777777" w:rsidR="00B41E80" w:rsidRPr="00B41E80" w:rsidRDefault="00B41E80" w:rsidP="00B41E80"/>
    <w:p w14:paraId="3BC18099" w14:textId="2A2320CD" w:rsidR="006F4DAE" w:rsidRDefault="00077A5D" w:rsidP="006F4DAE">
      <w:pPr>
        <w:keepNext/>
        <w:keepLines/>
        <w:numPr>
          <w:ilvl w:val="2"/>
          <w:numId w:val="0"/>
        </w:numPr>
        <w:spacing w:before="120" w:after="0"/>
        <w:ind w:left="720" w:hanging="720"/>
        <w:outlineLvl w:val="2"/>
        <w:rPr>
          <w:rFonts w:eastAsiaTheme="majorEastAsia" w:cstheme="majorBidi"/>
          <w:b/>
          <w:szCs w:val="26"/>
        </w:rPr>
      </w:pPr>
      <w:bookmarkStart w:id="36" w:name="_Toc156830341"/>
      <w:bookmarkStart w:id="37" w:name="_Toc226980236"/>
      <w:r>
        <w:rPr>
          <w:rFonts w:eastAsiaTheme="majorEastAsia" w:cstheme="majorBidi"/>
          <w:b/>
          <w:szCs w:val="26"/>
        </w:rPr>
        <w:t>4</w:t>
      </w:r>
      <w:r w:rsidR="00DF23D5">
        <w:rPr>
          <w:rFonts w:eastAsiaTheme="majorEastAsia" w:cstheme="majorBidi"/>
          <w:b/>
          <w:szCs w:val="26"/>
        </w:rPr>
        <w:t xml:space="preserve">.2.1. </w:t>
      </w:r>
      <w:proofErr w:type="spellStart"/>
      <w:r w:rsidR="00952BB6" w:rsidRPr="00B32CD1">
        <w:rPr>
          <w:rFonts w:eastAsiaTheme="majorEastAsia" w:cstheme="majorBidi"/>
          <w:b/>
          <w:szCs w:val="26"/>
        </w:rPr>
        <w:t>Niskougljična</w:t>
      </w:r>
      <w:proofErr w:type="spellEnd"/>
      <w:r w:rsidR="00952BB6" w:rsidRPr="00B32CD1">
        <w:rPr>
          <w:rFonts w:eastAsiaTheme="majorEastAsia" w:cstheme="majorBidi"/>
          <w:b/>
          <w:szCs w:val="26"/>
        </w:rPr>
        <w:t xml:space="preserve"> energetska tranzicija (</w:t>
      </w:r>
      <w:proofErr w:type="spellStart"/>
      <w:r w:rsidR="00952BB6" w:rsidRPr="00B32CD1">
        <w:rPr>
          <w:rFonts w:eastAsiaTheme="majorEastAsia" w:cstheme="majorBidi"/>
          <w:b/>
          <w:szCs w:val="26"/>
        </w:rPr>
        <w:t>NuET</w:t>
      </w:r>
      <w:proofErr w:type="spellEnd"/>
      <w:r w:rsidR="00952BB6" w:rsidRPr="00B32CD1">
        <w:rPr>
          <w:rFonts w:eastAsiaTheme="majorEastAsia" w:cstheme="majorBidi"/>
          <w:b/>
          <w:szCs w:val="26"/>
        </w:rPr>
        <w:t>)</w:t>
      </w:r>
      <w:bookmarkEnd w:id="36"/>
      <w:bookmarkEnd w:id="37"/>
    </w:p>
    <w:p w14:paraId="677915BD" w14:textId="77777777" w:rsidR="006F4DAE" w:rsidRPr="00DF23D5" w:rsidRDefault="006F4DAE" w:rsidP="00DF23D5"/>
    <w:p w14:paraId="4AB88706" w14:textId="6524814F" w:rsidR="00952BB6" w:rsidRPr="00B32CD1" w:rsidRDefault="00952BB6" w:rsidP="00EB3E11">
      <w:pPr>
        <w:ind w:firstLine="426"/>
      </w:pPr>
      <w:r w:rsidRPr="00B32CD1">
        <w:t xml:space="preserve">Navedena sredstva </w:t>
      </w:r>
      <w:r w:rsidR="00AC005A">
        <w:t>raspodijeljena</w:t>
      </w:r>
      <w:r w:rsidRPr="00B32CD1">
        <w:t xml:space="preserve"> su </w:t>
      </w:r>
      <w:r w:rsidR="00AC005A">
        <w:t>temeljem</w:t>
      </w:r>
      <w:r w:rsidRPr="00B32CD1">
        <w:t xml:space="preserve"> nov</w:t>
      </w:r>
      <w:r w:rsidR="00AC005A">
        <w:t>e</w:t>
      </w:r>
      <w:r w:rsidRPr="00B32CD1">
        <w:t xml:space="preserve"> politiku </w:t>
      </w:r>
      <w:r w:rsidR="00AC005A">
        <w:t>EU</w:t>
      </w:r>
      <w:r w:rsidRPr="00B32CD1">
        <w:t xml:space="preserve"> predstavljenu Europskim zelenim planom, a kojim se planira potpuna dekarbonizacija Europe do 2050. godine. Ta sredstva, koja će se koristiti za ubrzanje energetske tranzicije sukladno Strategiji energetskog razvoja Republike Hrvatske do 2030. s pogledom na 2050. godinu i Integriranom nacionalnom energetskom i klimatskom planu kao temeljnom planu provedbe strategije raspoređuju se za provedbu sljedećih mjera:</w:t>
      </w:r>
    </w:p>
    <w:p w14:paraId="2420DBF4" w14:textId="0D8835F2" w:rsidR="00952BB6" w:rsidRPr="00B32CD1" w:rsidRDefault="00DF23D5" w:rsidP="00952BB6">
      <w:pPr>
        <w:keepNext/>
        <w:keepLines/>
        <w:numPr>
          <w:ilvl w:val="3"/>
          <w:numId w:val="0"/>
        </w:numPr>
        <w:spacing w:before="40" w:after="0"/>
        <w:ind w:left="864" w:hanging="864"/>
        <w:outlineLvl w:val="3"/>
        <w:rPr>
          <w:rFonts w:eastAsiaTheme="majorEastAsia" w:cstheme="majorBidi"/>
          <w:b/>
          <w:i/>
          <w:iCs/>
        </w:rPr>
      </w:pPr>
      <w:r>
        <w:rPr>
          <w:rFonts w:eastAsiaTheme="majorEastAsia" w:cstheme="majorBidi"/>
          <w:b/>
          <w:i/>
          <w:iCs/>
        </w:rPr>
        <w:t xml:space="preserve">3.2.1.1. </w:t>
      </w:r>
      <w:r w:rsidR="00952BB6" w:rsidRPr="00B32CD1">
        <w:rPr>
          <w:rFonts w:eastAsiaTheme="majorEastAsia" w:cstheme="majorBidi"/>
          <w:b/>
          <w:i/>
          <w:iCs/>
        </w:rPr>
        <w:t>Obnovljivi izvori energije (OIE)</w:t>
      </w:r>
    </w:p>
    <w:p w14:paraId="555B2017" w14:textId="66546E61" w:rsidR="00952BB6" w:rsidRPr="00EB3E11" w:rsidRDefault="00952BB6" w:rsidP="00EB3E11">
      <w:pPr>
        <w:spacing w:before="120" w:after="60"/>
        <w:ind w:firstLine="426"/>
      </w:pPr>
      <w:r w:rsidRPr="00B32CD1">
        <w:t xml:space="preserve">Navedena mjera će sukladno </w:t>
      </w:r>
      <w:r w:rsidR="00B32CD1" w:rsidRPr="00B32CD1">
        <w:t xml:space="preserve">revidiranom </w:t>
      </w:r>
      <w:r w:rsidRPr="00B32CD1">
        <w:t xml:space="preserve">Integriranom nacionalnom energetskom i klimatskom planu za Republiku Hrvatsku za razdoblje od 2021. do 2030. doprinijeti povećanju proizvodnje energije i udjela obnovljivih izvora energije u bruto neposrednoj potrošnji energije te posljedično smanjiti emisije stakleničkih plinova. Cilj za 2030. godinu je udio OIE u bruto neposrednoj potrošnji energije od </w:t>
      </w:r>
      <w:r w:rsidR="00B32CD1" w:rsidRPr="00B32CD1">
        <w:t>42,5</w:t>
      </w:r>
      <w:r w:rsidRPr="00B32CD1">
        <w:t>%.</w:t>
      </w:r>
    </w:p>
    <w:p w14:paraId="05E7322D" w14:textId="5935CFC6" w:rsidR="00952BB6" w:rsidRPr="00264DD3" w:rsidRDefault="00952BB6" w:rsidP="00264DD3">
      <w:pPr>
        <w:spacing w:after="240" w:line="240" w:lineRule="auto"/>
        <w:ind w:firstLine="425"/>
        <w:rPr>
          <w:rFonts w:eastAsia="Times New Roman"/>
          <w:color w:val="000000"/>
          <w:lang w:eastAsia="hr-HR"/>
        </w:rPr>
      </w:pPr>
      <w:r w:rsidRPr="00A14D47">
        <w:t>Sukladno mjeri obnovljivi izvori energije iz Plana</w:t>
      </w:r>
      <w:r w:rsidR="00B41E80">
        <w:t xml:space="preserve"> II.</w:t>
      </w:r>
      <w:r w:rsidRPr="00A14D47">
        <w:t xml:space="preserve">, </w:t>
      </w:r>
      <w:r w:rsidR="00ED5D7F">
        <w:t>FOND</w:t>
      </w:r>
      <w:r w:rsidRPr="00A14D47">
        <w:t xml:space="preserve"> je u 202</w:t>
      </w:r>
      <w:r w:rsidR="00A14D47" w:rsidRPr="00A14D47">
        <w:t>3</w:t>
      </w:r>
      <w:r w:rsidRPr="00A14D47">
        <w:t>.</w:t>
      </w:r>
      <w:r w:rsidR="00A14D47" w:rsidRPr="00A14D47">
        <w:t xml:space="preserve"> i 2024.</w:t>
      </w:r>
      <w:r w:rsidRPr="00A14D47">
        <w:t xml:space="preserve"> </w:t>
      </w:r>
      <w:r w:rsidRPr="00A14D47">
        <w:rPr>
          <w:lang w:eastAsia="hr-HR"/>
        </w:rPr>
        <w:t xml:space="preserve">poticao primjenu mrežnih i autonomnih fotonaponskih sustava manje priključne snage, sunčeve toplinske kolektore, kotlove na krutu biomasu i dizalice topline te isplatio sredstva u iznosu </w:t>
      </w:r>
      <w:r w:rsidRPr="00A14D47">
        <w:rPr>
          <w:bCs/>
          <w:lang w:eastAsia="hr-HR"/>
        </w:rPr>
        <w:t>od</w:t>
      </w:r>
      <w:r w:rsidRPr="00A14D47">
        <w:rPr>
          <w:b/>
          <w:lang w:eastAsia="hr-HR"/>
        </w:rPr>
        <w:t xml:space="preserve"> </w:t>
      </w:r>
      <w:r w:rsidR="00A14D47" w:rsidRPr="00A14D47">
        <w:rPr>
          <w:rFonts w:eastAsia="Times New Roman"/>
          <w:b/>
          <w:color w:val="000000"/>
          <w:lang w:eastAsia="hr-HR"/>
        </w:rPr>
        <w:t>22.963.319,75</w:t>
      </w:r>
      <w:r w:rsidRPr="00A14D47">
        <w:rPr>
          <w:rFonts w:eastAsia="Times New Roman"/>
          <w:b/>
          <w:color w:val="000000"/>
          <w:lang w:eastAsia="hr-HR"/>
        </w:rPr>
        <w:t xml:space="preserve"> </w:t>
      </w:r>
      <w:r w:rsidR="00A14D47" w:rsidRPr="00A14D47">
        <w:rPr>
          <w:rFonts w:eastAsia="Times New Roman"/>
          <w:b/>
          <w:color w:val="000000"/>
          <w:lang w:eastAsia="hr-HR"/>
        </w:rPr>
        <w:t>eura</w:t>
      </w:r>
      <w:r w:rsidRPr="00A14D47">
        <w:rPr>
          <w:rFonts w:eastAsia="Times New Roman"/>
          <w:color w:val="000000"/>
          <w:lang w:eastAsia="hr-HR"/>
        </w:rPr>
        <w:t xml:space="preserve"> za ukupno </w:t>
      </w:r>
      <w:r w:rsidR="00A14D47" w:rsidRPr="00A14D47">
        <w:rPr>
          <w:rFonts w:eastAsia="Times New Roman"/>
          <w:b/>
          <w:color w:val="000000"/>
          <w:lang w:eastAsia="hr-HR"/>
        </w:rPr>
        <w:t>26</w:t>
      </w:r>
      <w:r w:rsidR="00C563B3">
        <w:rPr>
          <w:rFonts w:eastAsia="Times New Roman"/>
          <w:b/>
          <w:color w:val="000000"/>
          <w:lang w:eastAsia="hr-HR"/>
        </w:rPr>
        <w:t>48</w:t>
      </w:r>
      <w:r w:rsidRPr="00A14D47">
        <w:rPr>
          <w:rFonts w:eastAsia="Times New Roman"/>
          <w:color w:val="000000"/>
          <w:lang w:eastAsia="hr-HR"/>
        </w:rPr>
        <w:t xml:space="preserve"> </w:t>
      </w:r>
      <w:r w:rsidRPr="00A14D47">
        <w:rPr>
          <w:rFonts w:eastAsia="Times New Roman"/>
          <w:b/>
          <w:bCs/>
          <w:color w:val="000000"/>
          <w:lang w:eastAsia="hr-HR"/>
        </w:rPr>
        <w:t>projek</w:t>
      </w:r>
      <w:r w:rsidR="00A14D47" w:rsidRPr="00A14D47">
        <w:rPr>
          <w:rFonts w:eastAsia="Times New Roman"/>
          <w:b/>
          <w:bCs/>
          <w:color w:val="000000"/>
          <w:lang w:eastAsia="hr-HR"/>
        </w:rPr>
        <w:t>a</w:t>
      </w:r>
      <w:r w:rsidRPr="00A14D47">
        <w:rPr>
          <w:rFonts w:eastAsia="Times New Roman"/>
          <w:b/>
          <w:bCs/>
          <w:color w:val="000000"/>
          <w:lang w:eastAsia="hr-HR"/>
        </w:rPr>
        <w:t>ta</w:t>
      </w:r>
      <w:r w:rsidRPr="00A14D47">
        <w:rPr>
          <w:rFonts w:eastAsia="Times New Roman"/>
          <w:color w:val="000000"/>
          <w:lang w:eastAsia="hr-HR"/>
        </w:rPr>
        <w:t xml:space="preserve"> korištenja obnovljivih izvora energije.</w:t>
      </w:r>
    </w:p>
    <w:p w14:paraId="117CA57E" w14:textId="77777777" w:rsidR="00952BB6" w:rsidRPr="00435229" w:rsidRDefault="00952BB6" w:rsidP="00952BB6">
      <w:pPr>
        <w:spacing w:before="60" w:after="60"/>
        <w:rPr>
          <w:i/>
          <w:iCs/>
          <w:u w:val="single"/>
        </w:rPr>
      </w:pPr>
      <w:r w:rsidRPr="00435229">
        <w:rPr>
          <w:i/>
          <w:iCs/>
          <w:u w:val="single"/>
        </w:rPr>
        <w:t>Radi se o projektima gdje su korisnici bili:</w:t>
      </w:r>
    </w:p>
    <w:p w14:paraId="75E58EA3" w14:textId="77777777" w:rsidR="00952BB6" w:rsidRPr="00435229" w:rsidRDefault="00952BB6" w:rsidP="001B73A5">
      <w:pPr>
        <w:numPr>
          <w:ilvl w:val="0"/>
          <w:numId w:val="3"/>
        </w:numPr>
        <w:spacing w:before="60" w:after="60"/>
        <w:ind w:left="723" w:hanging="297"/>
        <w:contextualSpacing/>
      </w:pPr>
      <w:r w:rsidRPr="00435229">
        <w:t xml:space="preserve">fizičke osobe (građani) kojima su sredstva odobrena za </w:t>
      </w:r>
      <w:bookmarkStart w:id="38" w:name="_Hlk219367279"/>
      <w:r w:rsidRPr="00435229">
        <w:t>postavljanje novih sustava za korištenje obnovljivih izvora energije</w:t>
      </w:r>
      <w:bookmarkEnd w:id="38"/>
      <w:r w:rsidRPr="00435229">
        <w:t>:</w:t>
      </w:r>
    </w:p>
    <w:p w14:paraId="029E0871" w14:textId="77777777" w:rsidR="00952BB6" w:rsidRPr="00435229" w:rsidRDefault="00952BB6" w:rsidP="000C321E">
      <w:pPr>
        <w:numPr>
          <w:ilvl w:val="1"/>
          <w:numId w:val="3"/>
        </w:numPr>
        <w:spacing w:before="60" w:after="60"/>
        <w:ind w:left="1134" w:hanging="425"/>
        <w:contextualSpacing/>
      </w:pPr>
      <w:r w:rsidRPr="00435229">
        <w:t xml:space="preserve">s kotlom na drvnu sječku/pelete ili s </w:t>
      </w:r>
      <w:proofErr w:type="spellStart"/>
      <w:r w:rsidRPr="00435229">
        <w:t>pirolitičkim</w:t>
      </w:r>
      <w:proofErr w:type="spellEnd"/>
      <w:r w:rsidRPr="00435229">
        <w:t xml:space="preserve"> kotlom na drva za grijanje prostora ili prostora i potrošne vode u postojeće obiteljske kuće</w:t>
      </w:r>
    </w:p>
    <w:p w14:paraId="03B68908" w14:textId="77777777" w:rsidR="00952BB6" w:rsidRPr="00435229" w:rsidRDefault="00952BB6" w:rsidP="000C321E">
      <w:pPr>
        <w:numPr>
          <w:ilvl w:val="1"/>
          <w:numId w:val="3"/>
        </w:numPr>
        <w:spacing w:before="60" w:after="60"/>
        <w:ind w:left="1134" w:hanging="425"/>
        <w:contextualSpacing/>
      </w:pPr>
      <w:r w:rsidRPr="00435229">
        <w:t>s dizalicom topline za grijanje potrošne vode i/ili za grijanje prostora ili za grijanje i hlađenje prostora u postojeće obiteljske kuće</w:t>
      </w:r>
    </w:p>
    <w:p w14:paraId="0CB3B14F" w14:textId="77777777" w:rsidR="00952BB6" w:rsidRPr="00435229" w:rsidRDefault="00952BB6" w:rsidP="000C321E">
      <w:pPr>
        <w:numPr>
          <w:ilvl w:val="1"/>
          <w:numId w:val="3"/>
        </w:numPr>
        <w:spacing w:before="60" w:after="60"/>
        <w:ind w:left="1134" w:hanging="425"/>
        <w:contextualSpacing/>
      </w:pPr>
      <w:r w:rsidRPr="00435229">
        <w:t>sa sunčanim toplinskim pretvaračima za grijanje potrošne vode ili za grijanje potrošne vode i prostora na postojeće obiteljske kuće te</w:t>
      </w:r>
    </w:p>
    <w:p w14:paraId="64A5CD0C" w14:textId="77777777" w:rsidR="00952BB6" w:rsidRPr="00435229" w:rsidRDefault="00952BB6" w:rsidP="000C321E">
      <w:pPr>
        <w:numPr>
          <w:ilvl w:val="1"/>
          <w:numId w:val="3"/>
        </w:numPr>
        <w:spacing w:before="60" w:after="60"/>
        <w:ind w:left="1134" w:hanging="425"/>
        <w:contextualSpacing/>
      </w:pPr>
      <w:r w:rsidRPr="00435229">
        <w:t>za postavljanje jedne nove fotonaponske elektrane za proizvodnju električne energije za vlastite potrebe, u samostalnom ili mrežnom radu na postojeće obiteljske kuće</w:t>
      </w:r>
    </w:p>
    <w:p w14:paraId="47B8407F" w14:textId="26F28C68" w:rsidR="00952BB6" w:rsidRPr="00B41E80" w:rsidRDefault="00952BB6" w:rsidP="00FF3180">
      <w:pPr>
        <w:numPr>
          <w:ilvl w:val="2"/>
          <w:numId w:val="3"/>
        </w:numPr>
        <w:spacing w:before="60" w:after="60"/>
        <w:ind w:left="1560" w:hanging="426"/>
        <w:contextualSpacing/>
        <w:rPr>
          <w:u w:val="single"/>
        </w:rPr>
      </w:pPr>
      <w:r w:rsidRPr="00B41E80">
        <w:rPr>
          <w:u w:val="single"/>
        </w:rPr>
        <w:t xml:space="preserve">ukupno je isplaćeno </w:t>
      </w:r>
      <w:r w:rsidR="00A17F78" w:rsidRPr="00B41E80">
        <w:rPr>
          <w:b/>
          <w:bCs/>
          <w:u w:val="single"/>
        </w:rPr>
        <w:t>12.921.044,79</w:t>
      </w:r>
      <w:r w:rsidRPr="00B41E80">
        <w:rPr>
          <w:b/>
          <w:bCs/>
          <w:u w:val="single"/>
        </w:rPr>
        <w:t xml:space="preserve"> </w:t>
      </w:r>
      <w:r w:rsidR="00A17F78" w:rsidRPr="00B41E80">
        <w:rPr>
          <w:b/>
          <w:bCs/>
          <w:u w:val="single"/>
        </w:rPr>
        <w:t>eura</w:t>
      </w:r>
      <w:r w:rsidRPr="00B41E80">
        <w:rPr>
          <w:u w:val="single"/>
        </w:rPr>
        <w:t xml:space="preserve"> za </w:t>
      </w:r>
      <w:r w:rsidR="00A17F78" w:rsidRPr="00B41E80">
        <w:rPr>
          <w:b/>
          <w:bCs/>
          <w:u w:val="single"/>
        </w:rPr>
        <w:t>2410</w:t>
      </w:r>
      <w:r w:rsidRPr="00B41E80">
        <w:rPr>
          <w:b/>
          <w:bCs/>
          <w:u w:val="single"/>
        </w:rPr>
        <w:t xml:space="preserve"> projekata</w:t>
      </w:r>
    </w:p>
    <w:p w14:paraId="028F13BE" w14:textId="77777777" w:rsidR="00952BB6" w:rsidRPr="00E279E7" w:rsidRDefault="00952BB6" w:rsidP="001B73A5">
      <w:pPr>
        <w:numPr>
          <w:ilvl w:val="0"/>
          <w:numId w:val="3"/>
        </w:numPr>
        <w:spacing w:before="60" w:after="60"/>
        <w:ind w:left="723" w:hanging="297"/>
        <w:contextualSpacing/>
      </w:pPr>
      <w:r w:rsidRPr="00E279E7">
        <w:t>jedinice lokalne i područne (regionalne) samouprave, tijela državne uprave, ostali proračunski i izvanproračunski korisnici, ustanove, zadruge, vjerske zajednice, trgovačka društva, fizičke osobe (obrtnici), obiteljska poljoprivredna gospodarstva, privatni iznajmljivači, samostalne djelatnosti, upravitelji višestambenih zgrada i ostali pravni subjekti (osim udruga) kojima su sredstva odobrena za:</w:t>
      </w:r>
    </w:p>
    <w:p w14:paraId="45F51E10" w14:textId="77777777" w:rsidR="00952BB6" w:rsidRPr="00E279E7" w:rsidRDefault="00952BB6" w:rsidP="00721EED">
      <w:pPr>
        <w:numPr>
          <w:ilvl w:val="1"/>
          <w:numId w:val="3"/>
        </w:numPr>
        <w:spacing w:before="60" w:after="60"/>
        <w:ind w:left="1069"/>
        <w:contextualSpacing/>
      </w:pPr>
      <w:r w:rsidRPr="00E279E7">
        <w:t>izradu glavnog projekta</w:t>
      </w:r>
    </w:p>
    <w:p w14:paraId="678F34F0" w14:textId="77777777" w:rsidR="00952BB6" w:rsidRPr="00E279E7" w:rsidRDefault="00952BB6" w:rsidP="00721EED">
      <w:pPr>
        <w:numPr>
          <w:ilvl w:val="1"/>
          <w:numId w:val="3"/>
        </w:numPr>
        <w:spacing w:before="60" w:after="60"/>
        <w:ind w:left="1069"/>
        <w:contextualSpacing/>
      </w:pPr>
      <w:r w:rsidRPr="00E279E7">
        <w:lastRenderedPageBreak/>
        <w:t>nabavu i ugradnju sustava i opreme za korištenje obnovljivih izvora energije</w:t>
      </w:r>
    </w:p>
    <w:p w14:paraId="7BEEC5F5" w14:textId="77777777" w:rsidR="00952BB6" w:rsidRPr="00E279E7" w:rsidRDefault="00952BB6" w:rsidP="00721EED">
      <w:pPr>
        <w:numPr>
          <w:ilvl w:val="1"/>
          <w:numId w:val="3"/>
        </w:numPr>
        <w:spacing w:before="60" w:after="60"/>
        <w:ind w:left="1069"/>
        <w:contextualSpacing/>
      </w:pPr>
      <w:r w:rsidRPr="00E279E7">
        <w:t>stručnog nadzora radova</w:t>
      </w:r>
    </w:p>
    <w:p w14:paraId="122D41FE" w14:textId="567E8FD7" w:rsidR="00952BB6" w:rsidRPr="00B41E80" w:rsidRDefault="00952BB6" w:rsidP="00FF3180">
      <w:pPr>
        <w:numPr>
          <w:ilvl w:val="2"/>
          <w:numId w:val="3"/>
        </w:numPr>
        <w:spacing w:before="60" w:after="60"/>
        <w:ind w:left="1560" w:hanging="426"/>
        <w:contextualSpacing/>
        <w:rPr>
          <w:u w:val="single"/>
        </w:rPr>
      </w:pPr>
      <w:r w:rsidRPr="00B41E80">
        <w:rPr>
          <w:u w:val="single"/>
        </w:rPr>
        <w:t xml:space="preserve">ukupno je isplaćeno </w:t>
      </w:r>
      <w:r w:rsidR="009F3ADD" w:rsidRPr="00B41E80">
        <w:rPr>
          <w:b/>
          <w:bCs/>
          <w:u w:val="single"/>
        </w:rPr>
        <w:t>10.020.990,86</w:t>
      </w:r>
      <w:r w:rsidRPr="00B41E80">
        <w:rPr>
          <w:b/>
          <w:bCs/>
          <w:u w:val="single"/>
        </w:rPr>
        <w:t xml:space="preserve"> </w:t>
      </w:r>
      <w:r w:rsidR="009F3ADD" w:rsidRPr="00B41E80">
        <w:rPr>
          <w:b/>
          <w:bCs/>
          <w:u w:val="single"/>
        </w:rPr>
        <w:t>eura</w:t>
      </w:r>
      <w:r w:rsidRPr="00B41E80">
        <w:rPr>
          <w:u w:val="single"/>
        </w:rPr>
        <w:t xml:space="preserve"> za </w:t>
      </w:r>
      <w:r w:rsidR="009F3ADD" w:rsidRPr="00B41E80">
        <w:rPr>
          <w:b/>
          <w:bCs/>
          <w:u w:val="single"/>
        </w:rPr>
        <w:t>235</w:t>
      </w:r>
      <w:r w:rsidRPr="00B41E80">
        <w:rPr>
          <w:b/>
          <w:bCs/>
          <w:u w:val="single"/>
        </w:rPr>
        <w:t xml:space="preserve"> projekata</w:t>
      </w:r>
    </w:p>
    <w:p w14:paraId="464908C0" w14:textId="7AE1997E" w:rsidR="000C321E" w:rsidRDefault="00FF3180" w:rsidP="004444A0">
      <w:pPr>
        <w:numPr>
          <w:ilvl w:val="0"/>
          <w:numId w:val="3"/>
        </w:numPr>
        <w:spacing w:before="60" w:after="60"/>
        <w:ind w:left="709" w:hanging="283"/>
        <w:contextualSpacing/>
      </w:pPr>
      <w:r>
        <w:t xml:space="preserve">organizacije civilnog društva (Udruge) koje su programski usmjerene na rad u području klimatskih promjena, održivog razvoja, energetske učinkovitosti, obnovljivih izvora energije, </w:t>
      </w:r>
      <w:proofErr w:type="spellStart"/>
      <w:r>
        <w:t>elektromobilnosti</w:t>
      </w:r>
      <w:proofErr w:type="spellEnd"/>
      <w:r>
        <w:t xml:space="preserve"> te energetskog siromaštva kojima su sredstva odobrena za:</w:t>
      </w:r>
    </w:p>
    <w:p w14:paraId="3C202D09" w14:textId="67E48ED9" w:rsidR="00FF3180" w:rsidRDefault="00FF3180" w:rsidP="004444A0">
      <w:pPr>
        <w:numPr>
          <w:ilvl w:val="1"/>
          <w:numId w:val="3"/>
        </w:numPr>
        <w:spacing w:before="60" w:after="60"/>
        <w:ind w:left="1134" w:hanging="425"/>
        <w:contextualSpacing/>
      </w:pPr>
      <w:r>
        <w:t xml:space="preserve">provođenje aktivnosti za podizanje svijesti o </w:t>
      </w:r>
      <w:proofErr w:type="spellStart"/>
      <w:r>
        <w:t>elektromobilnosti</w:t>
      </w:r>
      <w:proofErr w:type="spellEnd"/>
      <w:r>
        <w:t xml:space="preserve"> </w:t>
      </w:r>
    </w:p>
    <w:p w14:paraId="396C7F4C" w14:textId="3BCA7E9E" w:rsidR="00FF3180" w:rsidRDefault="00FF3180" w:rsidP="004444A0">
      <w:pPr>
        <w:numPr>
          <w:ilvl w:val="1"/>
          <w:numId w:val="3"/>
        </w:numPr>
        <w:spacing w:before="60" w:after="60"/>
        <w:ind w:left="1134" w:hanging="425"/>
        <w:contextualSpacing/>
      </w:pPr>
      <w:r>
        <w:t>provođenje aktivnosti informiranja javnosti o mjerama energetske učinkovitosti i obnovljivih izvora energije</w:t>
      </w:r>
    </w:p>
    <w:p w14:paraId="34D13D0F" w14:textId="2C99D986" w:rsidR="000C321E" w:rsidRDefault="00FF3180" w:rsidP="004444A0">
      <w:pPr>
        <w:numPr>
          <w:ilvl w:val="1"/>
          <w:numId w:val="3"/>
        </w:numPr>
        <w:spacing w:before="60" w:after="60"/>
        <w:ind w:left="1134" w:hanging="425"/>
        <w:contextualSpacing/>
      </w:pPr>
      <w:r>
        <w:t>provođenje aktivnosti informiranja javnosti o mjerama suzbijanja energetskog siromaštva</w:t>
      </w:r>
    </w:p>
    <w:p w14:paraId="299E05D9" w14:textId="6A026607" w:rsidR="001B73A5" w:rsidRPr="00B41E80" w:rsidRDefault="00FF3180" w:rsidP="0054398A">
      <w:pPr>
        <w:numPr>
          <w:ilvl w:val="2"/>
          <w:numId w:val="3"/>
        </w:numPr>
        <w:spacing w:before="60" w:after="60"/>
        <w:ind w:left="1560" w:hanging="426"/>
        <w:contextualSpacing/>
        <w:rPr>
          <w:u w:val="single"/>
        </w:rPr>
      </w:pPr>
      <w:r w:rsidRPr="00B41E80">
        <w:rPr>
          <w:u w:val="single"/>
        </w:rPr>
        <w:t xml:space="preserve">ukupno je isplaćeno </w:t>
      </w:r>
      <w:r w:rsidR="00333595" w:rsidRPr="00B41E80">
        <w:rPr>
          <w:b/>
          <w:bCs/>
          <w:u w:val="single"/>
        </w:rPr>
        <w:t>21.284,10</w:t>
      </w:r>
      <w:r w:rsidRPr="00B41E80">
        <w:rPr>
          <w:b/>
          <w:bCs/>
          <w:u w:val="single"/>
        </w:rPr>
        <w:t xml:space="preserve"> eura</w:t>
      </w:r>
      <w:r w:rsidRPr="00B41E80">
        <w:rPr>
          <w:u w:val="single"/>
        </w:rPr>
        <w:t xml:space="preserve"> za</w:t>
      </w:r>
      <w:r w:rsidR="00EF00D0" w:rsidRPr="00B41E80">
        <w:rPr>
          <w:u w:val="single"/>
        </w:rPr>
        <w:t xml:space="preserve"> </w:t>
      </w:r>
      <w:r w:rsidR="00EF00D0" w:rsidRPr="00B41E80">
        <w:rPr>
          <w:b/>
          <w:bCs/>
          <w:u w:val="single"/>
        </w:rPr>
        <w:t>3</w:t>
      </w:r>
      <w:r w:rsidRPr="00B41E80">
        <w:rPr>
          <w:b/>
          <w:bCs/>
          <w:u w:val="single"/>
        </w:rPr>
        <w:t xml:space="preserve"> projekta</w:t>
      </w:r>
    </w:p>
    <w:p w14:paraId="6D4955A8" w14:textId="77777777" w:rsidR="00952BB6" w:rsidRPr="00952BB6" w:rsidRDefault="00952BB6" w:rsidP="00952BB6">
      <w:pPr>
        <w:spacing w:before="60" w:after="60"/>
        <w:contextualSpacing/>
        <w:rPr>
          <w:highlight w:val="yellow"/>
        </w:rPr>
      </w:pPr>
    </w:p>
    <w:p w14:paraId="31680A90" w14:textId="3D8A3DB6" w:rsidR="00952BB6" w:rsidRPr="00ED0A9C" w:rsidRDefault="00DF23D5" w:rsidP="00952BB6">
      <w:pPr>
        <w:keepNext/>
        <w:keepLines/>
        <w:numPr>
          <w:ilvl w:val="3"/>
          <w:numId w:val="0"/>
        </w:numPr>
        <w:spacing w:before="40" w:after="0"/>
        <w:ind w:left="864" w:hanging="864"/>
        <w:outlineLvl w:val="3"/>
        <w:rPr>
          <w:rFonts w:eastAsiaTheme="majorEastAsia" w:cstheme="majorBidi"/>
          <w:b/>
          <w:i/>
          <w:iCs/>
        </w:rPr>
      </w:pPr>
      <w:r>
        <w:rPr>
          <w:rFonts w:eastAsiaTheme="majorEastAsia" w:cstheme="majorBidi"/>
          <w:b/>
          <w:i/>
          <w:iCs/>
        </w:rPr>
        <w:t xml:space="preserve">3.2.1.2. </w:t>
      </w:r>
      <w:r w:rsidR="00952BB6" w:rsidRPr="00ED0A9C">
        <w:rPr>
          <w:rFonts w:eastAsiaTheme="majorEastAsia" w:cstheme="majorBidi"/>
          <w:b/>
          <w:i/>
          <w:iCs/>
        </w:rPr>
        <w:t>Povećanje energetske učinkovitosti (</w:t>
      </w:r>
      <w:proofErr w:type="spellStart"/>
      <w:r w:rsidR="00952BB6" w:rsidRPr="00ED0A9C">
        <w:rPr>
          <w:rFonts w:eastAsiaTheme="majorEastAsia" w:cstheme="majorBidi"/>
          <w:b/>
          <w:i/>
          <w:iCs/>
        </w:rPr>
        <w:t>EnU</w:t>
      </w:r>
      <w:proofErr w:type="spellEnd"/>
      <w:r w:rsidR="00952BB6" w:rsidRPr="00ED0A9C">
        <w:rPr>
          <w:rFonts w:eastAsiaTheme="majorEastAsia" w:cstheme="majorBidi"/>
          <w:b/>
          <w:i/>
          <w:iCs/>
        </w:rPr>
        <w:t>)</w:t>
      </w:r>
    </w:p>
    <w:p w14:paraId="394B5364" w14:textId="77777777" w:rsidR="00B41E80" w:rsidRDefault="00B41E80" w:rsidP="00774E22">
      <w:pPr>
        <w:spacing w:before="60" w:after="60"/>
        <w:ind w:firstLine="426"/>
      </w:pPr>
    </w:p>
    <w:p w14:paraId="5EB9DCC4" w14:textId="01DA134F" w:rsidR="00952BB6" w:rsidRPr="00961FAE" w:rsidRDefault="00952BB6" w:rsidP="00774E22">
      <w:pPr>
        <w:spacing w:before="60" w:after="60"/>
        <w:ind w:firstLine="426"/>
        <w:rPr>
          <w:lang w:eastAsia="hr-HR"/>
        </w:rPr>
      </w:pPr>
      <w:r w:rsidRPr="00961FAE">
        <w:t>Sukladno mjeri povećanja energetske učinkovitosti iz Plana II</w:t>
      </w:r>
      <w:r w:rsidR="00B41E80">
        <w:t>.</w:t>
      </w:r>
      <w:r w:rsidRPr="00961FAE">
        <w:t xml:space="preserve">, </w:t>
      </w:r>
      <w:r w:rsidR="00ED5D7F">
        <w:t>FOND</w:t>
      </w:r>
      <w:r w:rsidRPr="00961FAE">
        <w:t xml:space="preserve"> je u 202</w:t>
      </w:r>
      <w:r w:rsidR="00961FAE" w:rsidRPr="00961FAE">
        <w:t>3</w:t>
      </w:r>
      <w:r w:rsidRPr="00961FAE">
        <w:t>. i 202</w:t>
      </w:r>
      <w:r w:rsidR="00961FAE" w:rsidRPr="00961FAE">
        <w:t>4</w:t>
      </w:r>
      <w:r w:rsidRPr="00961FAE">
        <w:t xml:space="preserve">. godini </w:t>
      </w:r>
      <w:r w:rsidRPr="00961FAE">
        <w:rPr>
          <w:lang w:eastAsia="hr-HR"/>
        </w:rPr>
        <w:t>temeljem:</w:t>
      </w:r>
    </w:p>
    <w:p w14:paraId="1B5738C0" w14:textId="77777777" w:rsidR="00952BB6" w:rsidRPr="00375C45" w:rsidRDefault="00952BB6" w:rsidP="00721EED">
      <w:pPr>
        <w:numPr>
          <w:ilvl w:val="0"/>
          <w:numId w:val="3"/>
        </w:numPr>
        <w:spacing w:before="60" w:after="60"/>
        <w:ind w:left="723"/>
        <w:contextualSpacing/>
      </w:pPr>
      <w:r w:rsidRPr="00375C45">
        <w:t>Odluke o produžetku financiranja u 2021. godini provedbe Programa energetske obnove obiteljskih kuća za razdoblje od 2014. do 2020. godine s detaljnim planom za razdoblje do kraja 2020. godine (Narodne novine 83/2021)</w:t>
      </w:r>
    </w:p>
    <w:p w14:paraId="4284425A" w14:textId="77777777" w:rsidR="00375C45" w:rsidRDefault="00952BB6" w:rsidP="00375C45">
      <w:pPr>
        <w:numPr>
          <w:ilvl w:val="0"/>
          <w:numId w:val="3"/>
        </w:numPr>
        <w:spacing w:before="60" w:after="60"/>
        <w:ind w:left="723"/>
        <w:contextualSpacing/>
      </w:pPr>
      <w:r w:rsidRPr="00375C45">
        <w:t>Odluke o osiguranju novčane pomoći za nabavu kondenzacijskih bojlera i kondenzacijskih kotlova u zgradama oštećenima potresom (Narodne novine 49/2021) koju je donijela Vlada RH</w:t>
      </w:r>
    </w:p>
    <w:p w14:paraId="5C5E9EDB" w14:textId="77777777" w:rsidR="00375C45" w:rsidRPr="00375C45" w:rsidRDefault="00375C45" w:rsidP="00375C45">
      <w:pPr>
        <w:numPr>
          <w:ilvl w:val="0"/>
          <w:numId w:val="3"/>
        </w:numPr>
        <w:spacing w:before="60" w:after="60"/>
        <w:ind w:left="723"/>
        <w:contextualSpacing/>
      </w:pPr>
      <w:r w:rsidRPr="00375C45">
        <w:rPr>
          <w:sz w:val="23"/>
          <w:szCs w:val="23"/>
        </w:rPr>
        <w:t>Odluke o produžetku financiranja u 2022. godini provedbe Programa energetske obnove obiteljskih kuća za razdoblje od 2014. do 2020. godine s detaljnim planom za razdoblje do kraja 2020. godine (Narodne novine 99/2022)</w:t>
      </w:r>
    </w:p>
    <w:p w14:paraId="40E34C46" w14:textId="2C0FD1EC" w:rsidR="00375C45" w:rsidRPr="00375C45" w:rsidRDefault="00375C45" w:rsidP="00375C45">
      <w:pPr>
        <w:numPr>
          <w:ilvl w:val="0"/>
          <w:numId w:val="3"/>
        </w:numPr>
        <w:spacing w:before="60" w:after="60"/>
        <w:ind w:left="723"/>
        <w:contextualSpacing/>
      </w:pPr>
      <w:r w:rsidRPr="00375C45">
        <w:rPr>
          <w:sz w:val="23"/>
          <w:szCs w:val="23"/>
        </w:rPr>
        <w:t>Zaključka u vezi s energetskom obnovom obiteljskih kuća i višestambenih zgrada na području Republike Hrvatske (Narodne novine 122/2023)</w:t>
      </w:r>
    </w:p>
    <w:p w14:paraId="48258AC1" w14:textId="3B7554DE" w:rsidR="00952BB6" w:rsidRPr="00952BB6" w:rsidRDefault="00952BB6" w:rsidP="00952BB6">
      <w:pPr>
        <w:spacing w:before="60" w:after="60"/>
        <w:rPr>
          <w:highlight w:val="yellow"/>
          <w:lang w:eastAsia="hr-HR"/>
        </w:rPr>
      </w:pPr>
      <w:r w:rsidRPr="00DA403A">
        <w:rPr>
          <w:lang w:eastAsia="hr-HR"/>
        </w:rPr>
        <w:t>provodio</w:t>
      </w:r>
      <w:r w:rsidRPr="00DA403A">
        <w:t xml:space="preserve"> </w:t>
      </w:r>
      <w:r w:rsidRPr="00DA403A">
        <w:rPr>
          <w:lang w:eastAsia="hr-HR"/>
        </w:rPr>
        <w:t>mjere energetske obnove u postojećim obiteljskim kućama</w:t>
      </w:r>
      <w:r w:rsidR="00F36AE6">
        <w:rPr>
          <w:lang w:eastAsia="hr-HR"/>
        </w:rPr>
        <w:t xml:space="preserve"> i postojećim obiteljskim kućama koje su oštećene u potresu te</w:t>
      </w:r>
      <w:r w:rsidRPr="00DA403A">
        <w:rPr>
          <w:lang w:eastAsia="hr-HR"/>
        </w:rPr>
        <w:t xml:space="preserve"> poticao nabavu kondenzacijskih bojlera. </w:t>
      </w:r>
      <w:r w:rsidR="00686C87" w:rsidRPr="00686C87">
        <w:rPr>
          <w:lang w:eastAsia="hr-HR"/>
        </w:rPr>
        <w:t>Ujedno su se poticali projekti energetske obnove postojećih zgrada javne namjene koje imaju status kulturnog dobra te razvoj pametnih i održivih rješenja i usluga</w:t>
      </w:r>
      <w:r w:rsidR="00686C87">
        <w:rPr>
          <w:lang w:eastAsia="hr-HR"/>
        </w:rPr>
        <w:t>.</w:t>
      </w:r>
    </w:p>
    <w:p w14:paraId="007E3BBA" w14:textId="2CB9652B" w:rsidR="00952BB6" w:rsidRPr="00AE3E41" w:rsidRDefault="00952BB6" w:rsidP="00F920A5">
      <w:pPr>
        <w:spacing w:after="240" w:line="240" w:lineRule="auto"/>
        <w:ind w:firstLine="426"/>
        <w:rPr>
          <w:rFonts w:eastAsia="Times New Roman"/>
          <w:color w:val="000000"/>
          <w:lang w:eastAsia="hr-HR"/>
        </w:rPr>
      </w:pPr>
      <w:r w:rsidRPr="00E72FFE">
        <w:rPr>
          <w:lang w:eastAsia="hr-HR"/>
        </w:rPr>
        <w:t>Isplaćena su sredstva u iznosu</w:t>
      </w:r>
      <w:r w:rsidRPr="00E72FFE">
        <w:rPr>
          <w:bCs/>
          <w:lang w:eastAsia="hr-HR"/>
        </w:rPr>
        <w:t xml:space="preserve"> od</w:t>
      </w:r>
      <w:r w:rsidRPr="00E72FFE">
        <w:rPr>
          <w:b/>
          <w:lang w:eastAsia="hr-HR"/>
        </w:rPr>
        <w:t xml:space="preserve"> </w:t>
      </w:r>
      <w:r w:rsidR="00E72FFE" w:rsidRPr="00E72FFE">
        <w:rPr>
          <w:rFonts w:eastAsia="Times New Roman"/>
          <w:b/>
          <w:color w:val="000000"/>
          <w:lang w:eastAsia="hr-HR"/>
        </w:rPr>
        <w:t>40.392.851,98</w:t>
      </w:r>
      <w:r w:rsidRPr="00E72FFE">
        <w:rPr>
          <w:rFonts w:eastAsia="Times New Roman"/>
          <w:b/>
          <w:color w:val="000000"/>
          <w:lang w:eastAsia="hr-HR"/>
        </w:rPr>
        <w:t xml:space="preserve"> </w:t>
      </w:r>
      <w:r w:rsidR="00E72FFE" w:rsidRPr="00E72FFE">
        <w:rPr>
          <w:rFonts w:eastAsia="Times New Roman"/>
          <w:b/>
          <w:color w:val="000000"/>
          <w:lang w:eastAsia="hr-HR"/>
        </w:rPr>
        <w:t>eura</w:t>
      </w:r>
      <w:r w:rsidRPr="00E72FFE">
        <w:rPr>
          <w:rFonts w:eastAsia="Times New Roman"/>
          <w:color w:val="000000"/>
          <w:lang w:eastAsia="hr-HR"/>
        </w:rPr>
        <w:t xml:space="preserve"> za ukupno </w:t>
      </w:r>
      <w:r w:rsidR="00E72FFE" w:rsidRPr="00E72FFE">
        <w:rPr>
          <w:rFonts w:eastAsia="Times New Roman"/>
          <w:b/>
          <w:bCs/>
          <w:color w:val="000000"/>
          <w:lang w:eastAsia="hr-HR"/>
        </w:rPr>
        <w:t>4511</w:t>
      </w:r>
      <w:r w:rsidRPr="00E72FFE">
        <w:rPr>
          <w:rFonts w:eastAsia="Times New Roman"/>
          <w:color w:val="000000"/>
          <w:lang w:eastAsia="hr-HR"/>
        </w:rPr>
        <w:t xml:space="preserve"> </w:t>
      </w:r>
      <w:r w:rsidRPr="00E72FFE">
        <w:rPr>
          <w:rFonts w:eastAsia="Times New Roman"/>
          <w:b/>
          <w:bCs/>
          <w:color w:val="000000"/>
          <w:lang w:eastAsia="hr-HR"/>
        </w:rPr>
        <w:t xml:space="preserve">projekata </w:t>
      </w:r>
      <w:r w:rsidRPr="00E72FFE">
        <w:rPr>
          <w:rFonts w:eastAsia="Times New Roman"/>
          <w:color w:val="000000"/>
          <w:lang w:eastAsia="hr-HR"/>
        </w:rPr>
        <w:t>povećanja energetske učinkovitosti.</w:t>
      </w:r>
    </w:p>
    <w:p w14:paraId="23DD2117" w14:textId="77777777" w:rsidR="00AE3E41" w:rsidRDefault="00952BB6" w:rsidP="00AE3E41">
      <w:pPr>
        <w:spacing w:before="60" w:after="60"/>
        <w:rPr>
          <w:rFonts w:eastAsia="Times New Roman"/>
          <w:i/>
          <w:iCs/>
          <w:color w:val="000000"/>
          <w:u w:val="single"/>
          <w:lang w:eastAsia="hr-HR"/>
        </w:rPr>
      </w:pPr>
      <w:r w:rsidRPr="00AE3E41">
        <w:rPr>
          <w:rFonts w:eastAsia="Times New Roman"/>
          <w:i/>
          <w:iCs/>
          <w:color w:val="000000"/>
          <w:u w:val="single"/>
          <w:lang w:eastAsia="hr-HR"/>
        </w:rPr>
        <w:t>Radi se o sljedećim projektima</w:t>
      </w:r>
      <w:r w:rsidR="00AE3E41">
        <w:rPr>
          <w:rFonts w:eastAsia="Times New Roman"/>
          <w:i/>
          <w:iCs/>
          <w:color w:val="000000"/>
          <w:u w:val="single"/>
          <w:lang w:eastAsia="hr-HR"/>
        </w:rPr>
        <w:t>:</w:t>
      </w:r>
    </w:p>
    <w:p w14:paraId="1A76FEF2" w14:textId="0AD01201" w:rsidR="00952BB6" w:rsidRPr="00D03FCD" w:rsidRDefault="00AE3E41" w:rsidP="00077A5D">
      <w:pPr>
        <w:pStyle w:val="Odlomakpopisa"/>
        <w:numPr>
          <w:ilvl w:val="0"/>
          <w:numId w:val="21"/>
        </w:numPr>
        <w:spacing w:before="60" w:after="60"/>
        <w:rPr>
          <w:rFonts w:eastAsia="Times New Roman"/>
          <w:i/>
          <w:iCs/>
          <w:color w:val="000000"/>
          <w:u w:val="single"/>
          <w:lang w:eastAsia="hr-HR"/>
        </w:rPr>
      </w:pPr>
      <w:r w:rsidRPr="00AE3E41">
        <w:t>obnova obiteljskih kuća sukladno Odluci o produžetku financiranja u 2021. godini provedbe Programa energetske obnove obiteljskih kuća za razdoblje od 2014. do 2020. godine s detaljnim planom za razdoblje do kraja 2020. godine</w:t>
      </w:r>
    </w:p>
    <w:p w14:paraId="621F4E94" w14:textId="638E1525" w:rsidR="00952BB6" w:rsidRPr="00F8316D" w:rsidRDefault="00952BB6" w:rsidP="00F8316D">
      <w:pPr>
        <w:numPr>
          <w:ilvl w:val="2"/>
          <w:numId w:val="4"/>
        </w:numPr>
        <w:spacing w:before="60" w:after="60"/>
        <w:ind w:left="2268"/>
        <w:contextualSpacing/>
        <w:rPr>
          <w:rFonts w:eastAsia="Times New Roman"/>
          <w:b/>
          <w:bCs/>
          <w:color w:val="000000"/>
          <w:u w:val="single"/>
          <w:lang w:eastAsia="hr-HR"/>
        </w:rPr>
      </w:pPr>
      <w:r w:rsidRPr="00F8316D">
        <w:rPr>
          <w:rFonts w:eastAsia="Times New Roman"/>
          <w:color w:val="000000"/>
          <w:u w:val="single"/>
          <w:lang w:eastAsia="hr-HR"/>
        </w:rPr>
        <w:t xml:space="preserve">ukupno je isplaćeno </w:t>
      </w:r>
      <w:r w:rsidR="00D03FCD" w:rsidRPr="00F8316D">
        <w:rPr>
          <w:rFonts w:eastAsia="Times New Roman"/>
          <w:b/>
          <w:bCs/>
          <w:color w:val="000000"/>
          <w:u w:val="single"/>
          <w:lang w:eastAsia="hr-HR"/>
        </w:rPr>
        <w:t>28.238.453,21</w:t>
      </w:r>
      <w:r w:rsidRPr="00F8316D">
        <w:rPr>
          <w:rFonts w:eastAsia="Times New Roman"/>
          <w:b/>
          <w:bCs/>
          <w:color w:val="000000"/>
          <w:u w:val="single"/>
          <w:lang w:eastAsia="hr-HR"/>
        </w:rPr>
        <w:t xml:space="preserve"> </w:t>
      </w:r>
      <w:r w:rsidR="00D03FCD" w:rsidRPr="00F8316D">
        <w:rPr>
          <w:rFonts w:eastAsia="Times New Roman"/>
          <w:b/>
          <w:bCs/>
          <w:color w:val="000000"/>
          <w:u w:val="single"/>
          <w:lang w:eastAsia="hr-HR"/>
        </w:rPr>
        <w:t>eura</w:t>
      </w:r>
      <w:r w:rsidRPr="00F8316D">
        <w:rPr>
          <w:rFonts w:eastAsia="Times New Roman"/>
          <w:color w:val="000000"/>
          <w:u w:val="single"/>
          <w:lang w:eastAsia="hr-HR"/>
        </w:rPr>
        <w:t xml:space="preserve"> za </w:t>
      </w:r>
      <w:r w:rsidR="00D03FCD" w:rsidRPr="00F8316D">
        <w:rPr>
          <w:rFonts w:eastAsia="Times New Roman"/>
          <w:b/>
          <w:bCs/>
          <w:color w:val="000000"/>
          <w:u w:val="single"/>
          <w:lang w:eastAsia="hr-HR"/>
        </w:rPr>
        <w:t>2983</w:t>
      </w:r>
      <w:r w:rsidRPr="00F8316D">
        <w:rPr>
          <w:rFonts w:eastAsia="Times New Roman"/>
          <w:b/>
          <w:bCs/>
          <w:color w:val="000000"/>
          <w:u w:val="single"/>
          <w:lang w:eastAsia="hr-HR"/>
        </w:rPr>
        <w:t xml:space="preserve"> projekata</w:t>
      </w:r>
    </w:p>
    <w:p w14:paraId="78349171" w14:textId="73455AD8" w:rsidR="00C074F1" w:rsidRPr="00C074F1" w:rsidRDefault="00C074F1" w:rsidP="003A1CB7">
      <w:pPr>
        <w:numPr>
          <w:ilvl w:val="0"/>
          <w:numId w:val="4"/>
        </w:numPr>
        <w:spacing w:before="60" w:after="60"/>
        <w:ind w:left="709" w:hanging="425"/>
        <w:contextualSpacing/>
        <w:rPr>
          <w:rFonts w:eastAsia="Times New Roman"/>
          <w:color w:val="000000"/>
          <w:lang w:eastAsia="hr-HR"/>
        </w:rPr>
      </w:pPr>
      <w:r w:rsidRPr="00C074F1">
        <w:rPr>
          <w:rFonts w:eastAsia="Times New Roman"/>
          <w:color w:val="000000"/>
          <w:lang w:eastAsia="hr-HR"/>
        </w:rPr>
        <w:t xml:space="preserve">obnova obiteljskih kuća oštećenih u potresu sukladno Odluci o produžetku financiranja u 2022. godini provedbe Programa energetske obnove obiteljskih kuća za razdoblje od 2014. do 2020. godine s detaljnim planom za razdoblje do kraja 2020. godine </w:t>
      </w:r>
    </w:p>
    <w:p w14:paraId="4CEA89B8" w14:textId="77777777" w:rsidR="00836CA5" w:rsidRPr="00F8316D" w:rsidRDefault="00C074F1" w:rsidP="00F8316D">
      <w:pPr>
        <w:numPr>
          <w:ilvl w:val="2"/>
          <w:numId w:val="4"/>
        </w:numPr>
        <w:spacing w:before="60" w:after="60"/>
        <w:ind w:left="2268"/>
        <w:contextualSpacing/>
        <w:rPr>
          <w:rFonts w:eastAsia="Times New Roman"/>
          <w:color w:val="000000"/>
          <w:u w:val="single"/>
          <w:lang w:eastAsia="hr-HR"/>
        </w:rPr>
      </w:pPr>
      <w:r w:rsidRPr="00F8316D">
        <w:rPr>
          <w:rFonts w:eastAsia="Times New Roman"/>
          <w:color w:val="000000"/>
          <w:u w:val="single"/>
          <w:lang w:eastAsia="hr-HR"/>
        </w:rPr>
        <w:lastRenderedPageBreak/>
        <w:t xml:space="preserve">ukupno je isplaćeno </w:t>
      </w:r>
      <w:r w:rsidRPr="00F8316D">
        <w:rPr>
          <w:rFonts w:eastAsia="Times New Roman"/>
          <w:b/>
          <w:bCs/>
          <w:color w:val="000000"/>
          <w:u w:val="single"/>
          <w:lang w:eastAsia="hr-HR"/>
        </w:rPr>
        <w:t>2.145.380,36 eura</w:t>
      </w:r>
      <w:r w:rsidRPr="00F8316D">
        <w:rPr>
          <w:rFonts w:eastAsia="Times New Roman"/>
          <w:color w:val="000000"/>
          <w:u w:val="single"/>
          <w:lang w:eastAsia="hr-HR"/>
        </w:rPr>
        <w:t xml:space="preserve"> za </w:t>
      </w:r>
      <w:r w:rsidRPr="00F8316D">
        <w:rPr>
          <w:rFonts w:eastAsia="Times New Roman"/>
          <w:b/>
          <w:bCs/>
          <w:color w:val="000000"/>
          <w:u w:val="single"/>
          <w:lang w:eastAsia="hr-HR"/>
        </w:rPr>
        <w:t>129 projekata</w:t>
      </w:r>
    </w:p>
    <w:p w14:paraId="6826A780" w14:textId="2D474CCD" w:rsidR="00836CA5" w:rsidRPr="00836CA5" w:rsidRDefault="00836CA5" w:rsidP="003A1CB7">
      <w:pPr>
        <w:numPr>
          <w:ilvl w:val="0"/>
          <w:numId w:val="4"/>
        </w:numPr>
        <w:spacing w:before="60" w:after="60"/>
        <w:ind w:left="709" w:hanging="425"/>
        <w:contextualSpacing/>
        <w:rPr>
          <w:rFonts w:eastAsia="Times New Roman"/>
          <w:color w:val="000000"/>
          <w:lang w:eastAsia="hr-HR"/>
        </w:rPr>
      </w:pPr>
      <w:r w:rsidRPr="00836CA5">
        <w:rPr>
          <w:sz w:val="23"/>
          <w:szCs w:val="23"/>
        </w:rPr>
        <w:t>obnova obiteljskih kuća sukladno Zaključku u vezi s energetskom obnovom obiteljskih kuća i višestambenih zgrada na području Republike Hrvatske</w:t>
      </w:r>
    </w:p>
    <w:p w14:paraId="51097A46" w14:textId="5D50D126" w:rsidR="00836CA5" w:rsidRPr="00836CA5" w:rsidRDefault="00483318" w:rsidP="00F8316D">
      <w:pPr>
        <w:numPr>
          <w:ilvl w:val="2"/>
          <w:numId w:val="4"/>
        </w:numPr>
        <w:spacing w:before="60" w:after="60"/>
        <w:ind w:left="2268"/>
        <w:contextualSpacing/>
        <w:rPr>
          <w:rFonts w:eastAsia="Times New Roman"/>
          <w:color w:val="000000"/>
          <w:lang w:eastAsia="hr-HR"/>
        </w:rPr>
      </w:pPr>
      <w:r>
        <w:rPr>
          <w:rFonts w:eastAsia="Times New Roman"/>
          <w:color w:val="000000"/>
          <w:lang w:eastAsia="hr-HR"/>
        </w:rPr>
        <w:t>u</w:t>
      </w:r>
      <w:r w:rsidRPr="00F8316D">
        <w:rPr>
          <w:rFonts w:eastAsia="Times New Roman"/>
          <w:color w:val="000000"/>
          <w:u w:val="single"/>
          <w:lang w:eastAsia="hr-HR"/>
        </w:rPr>
        <w:t xml:space="preserve">kupno je isplaćeno </w:t>
      </w:r>
      <w:r w:rsidRPr="00F8316D">
        <w:rPr>
          <w:rFonts w:eastAsia="Times New Roman"/>
          <w:b/>
          <w:bCs/>
          <w:color w:val="000000"/>
          <w:u w:val="single"/>
          <w:lang w:eastAsia="hr-HR"/>
        </w:rPr>
        <w:t>4.440.230,45 eura</w:t>
      </w:r>
      <w:r w:rsidRPr="00F8316D">
        <w:rPr>
          <w:rFonts w:eastAsia="Times New Roman"/>
          <w:color w:val="000000"/>
          <w:u w:val="single"/>
          <w:lang w:eastAsia="hr-HR"/>
        </w:rPr>
        <w:t xml:space="preserve"> za </w:t>
      </w:r>
      <w:r w:rsidRPr="00F8316D">
        <w:rPr>
          <w:rFonts w:eastAsia="Times New Roman"/>
          <w:b/>
          <w:bCs/>
          <w:color w:val="000000"/>
          <w:u w:val="single"/>
          <w:lang w:eastAsia="hr-HR"/>
        </w:rPr>
        <w:t>807 projekata</w:t>
      </w:r>
    </w:p>
    <w:p w14:paraId="66167B55" w14:textId="3576289C" w:rsidR="00952BB6" w:rsidRPr="00815913" w:rsidRDefault="00952BB6" w:rsidP="000D0119">
      <w:pPr>
        <w:numPr>
          <w:ilvl w:val="0"/>
          <w:numId w:val="3"/>
        </w:numPr>
        <w:spacing w:before="60" w:after="60"/>
        <w:ind w:left="723" w:hanging="439"/>
        <w:contextualSpacing/>
      </w:pPr>
      <w:r w:rsidRPr="00815913">
        <w:t xml:space="preserve">kupnja kondenzacijskih bojlera </w:t>
      </w:r>
      <w:r w:rsidR="00815913" w:rsidRPr="00815913">
        <w:t>kojim se zamjenjuju postojeći bojleri koji nisu kondenzacijski</w:t>
      </w:r>
    </w:p>
    <w:p w14:paraId="2081F9A1" w14:textId="0E98BA3E" w:rsidR="00491EAE" w:rsidRPr="00F8316D" w:rsidRDefault="00B433CA" w:rsidP="00F8316D">
      <w:pPr>
        <w:numPr>
          <w:ilvl w:val="2"/>
          <w:numId w:val="4"/>
        </w:numPr>
        <w:spacing w:before="60" w:after="60"/>
        <w:ind w:left="2268"/>
        <w:contextualSpacing/>
        <w:rPr>
          <w:rFonts w:eastAsia="Times New Roman"/>
          <w:color w:val="000000"/>
          <w:u w:val="single"/>
          <w:lang w:eastAsia="hr-HR"/>
        </w:rPr>
      </w:pPr>
      <w:r w:rsidRPr="00F8316D">
        <w:rPr>
          <w:rFonts w:eastAsia="Times New Roman"/>
          <w:color w:val="000000"/>
          <w:u w:val="single"/>
          <w:lang w:eastAsia="hr-HR"/>
        </w:rPr>
        <w:t xml:space="preserve">ukupno je </w:t>
      </w:r>
      <w:r w:rsidR="00952BB6" w:rsidRPr="00F8316D">
        <w:rPr>
          <w:rFonts w:eastAsia="Times New Roman"/>
          <w:color w:val="000000"/>
          <w:u w:val="single"/>
          <w:lang w:eastAsia="hr-HR"/>
        </w:rPr>
        <w:t xml:space="preserve">isplaćeno </w:t>
      </w:r>
      <w:r w:rsidRPr="00F8316D">
        <w:rPr>
          <w:rFonts w:eastAsia="Times New Roman"/>
          <w:b/>
          <w:bCs/>
          <w:color w:val="000000"/>
          <w:u w:val="single"/>
          <w:lang w:eastAsia="hr-HR"/>
        </w:rPr>
        <w:t>482.492,78</w:t>
      </w:r>
      <w:r w:rsidR="00952BB6" w:rsidRPr="00F8316D">
        <w:rPr>
          <w:rFonts w:eastAsia="Times New Roman"/>
          <w:b/>
          <w:bCs/>
          <w:color w:val="000000"/>
          <w:u w:val="single"/>
          <w:lang w:eastAsia="hr-HR"/>
        </w:rPr>
        <w:t xml:space="preserve"> </w:t>
      </w:r>
      <w:r w:rsidRPr="00F8316D">
        <w:rPr>
          <w:rFonts w:eastAsia="Times New Roman"/>
          <w:b/>
          <w:bCs/>
          <w:color w:val="000000"/>
          <w:u w:val="single"/>
          <w:lang w:eastAsia="hr-HR"/>
        </w:rPr>
        <w:t>eura</w:t>
      </w:r>
      <w:r w:rsidR="00952BB6" w:rsidRPr="00F8316D">
        <w:rPr>
          <w:rFonts w:eastAsia="Times New Roman"/>
          <w:color w:val="000000"/>
          <w:u w:val="single"/>
          <w:lang w:eastAsia="hr-HR"/>
        </w:rPr>
        <w:t xml:space="preserve"> za </w:t>
      </w:r>
      <w:r w:rsidRPr="00F8316D">
        <w:rPr>
          <w:rFonts w:eastAsia="Times New Roman"/>
          <w:b/>
          <w:bCs/>
          <w:color w:val="000000"/>
          <w:u w:val="single"/>
          <w:lang w:eastAsia="hr-HR"/>
        </w:rPr>
        <w:t>463</w:t>
      </w:r>
      <w:r w:rsidR="00952BB6" w:rsidRPr="00F8316D">
        <w:rPr>
          <w:rFonts w:eastAsia="Times New Roman"/>
          <w:b/>
          <w:bCs/>
          <w:color w:val="000000"/>
          <w:u w:val="single"/>
          <w:lang w:eastAsia="hr-HR"/>
        </w:rPr>
        <w:t xml:space="preserve"> projekta</w:t>
      </w:r>
    </w:p>
    <w:p w14:paraId="42668730" w14:textId="18FA0FC4" w:rsidR="00491EAE" w:rsidRPr="00491EAE" w:rsidRDefault="00491EAE" w:rsidP="003A1CB7">
      <w:pPr>
        <w:numPr>
          <w:ilvl w:val="0"/>
          <w:numId w:val="4"/>
        </w:numPr>
        <w:spacing w:before="60" w:after="60"/>
        <w:ind w:left="709" w:hanging="425"/>
        <w:contextualSpacing/>
        <w:rPr>
          <w:rFonts w:eastAsia="Times New Roman"/>
          <w:color w:val="000000"/>
          <w:lang w:eastAsia="hr-HR"/>
        </w:rPr>
      </w:pPr>
      <w:r>
        <w:rPr>
          <w:rFonts w:eastAsia="Times New Roman"/>
          <w:color w:val="000000"/>
          <w:lang w:eastAsia="hr-HR"/>
        </w:rPr>
        <w:t xml:space="preserve">energetska </w:t>
      </w:r>
      <w:r w:rsidRPr="00491EAE">
        <w:rPr>
          <w:rFonts w:eastAsia="Times New Roman"/>
          <w:color w:val="000000"/>
          <w:lang w:eastAsia="hr-HR"/>
        </w:rPr>
        <w:t>obnova postojećih zgrada javne namjene koje imaju status kulturnog dobra</w:t>
      </w:r>
    </w:p>
    <w:p w14:paraId="2C1FAFE7" w14:textId="31427E71" w:rsidR="00491EAE" w:rsidRPr="00F8316D" w:rsidRDefault="00491EAE" w:rsidP="00F8316D">
      <w:pPr>
        <w:numPr>
          <w:ilvl w:val="2"/>
          <w:numId w:val="4"/>
        </w:numPr>
        <w:spacing w:before="60" w:after="60"/>
        <w:ind w:left="2268"/>
        <w:contextualSpacing/>
        <w:rPr>
          <w:rFonts w:eastAsia="Times New Roman"/>
          <w:color w:val="000000"/>
          <w:u w:val="single"/>
          <w:lang w:eastAsia="hr-HR"/>
        </w:rPr>
      </w:pPr>
      <w:r w:rsidRPr="00F8316D">
        <w:rPr>
          <w:rFonts w:eastAsia="Times New Roman"/>
          <w:color w:val="000000"/>
          <w:u w:val="single"/>
          <w:lang w:eastAsia="hr-HR"/>
        </w:rPr>
        <w:t xml:space="preserve">ukupno je isplaćeno </w:t>
      </w:r>
      <w:r w:rsidRPr="00F8316D">
        <w:rPr>
          <w:rFonts w:eastAsia="Times New Roman"/>
          <w:b/>
          <w:bCs/>
          <w:color w:val="000000"/>
          <w:u w:val="single"/>
          <w:lang w:eastAsia="hr-HR"/>
        </w:rPr>
        <w:t>2.815.687,81 eura</w:t>
      </w:r>
      <w:r w:rsidRPr="00F8316D">
        <w:rPr>
          <w:rFonts w:eastAsia="Times New Roman"/>
          <w:color w:val="000000"/>
          <w:u w:val="single"/>
          <w:lang w:eastAsia="hr-HR"/>
        </w:rPr>
        <w:t xml:space="preserve"> za </w:t>
      </w:r>
      <w:r w:rsidRPr="00F8316D">
        <w:rPr>
          <w:rFonts w:eastAsia="Times New Roman"/>
          <w:b/>
          <w:bCs/>
          <w:color w:val="000000"/>
          <w:u w:val="single"/>
          <w:lang w:eastAsia="hr-HR"/>
        </w:rPr>
        <w:t>21 projekt</w:t>
      </w:r>
    </w:p>
    <w:p w14:paraId="27B8F2F1" w14:textId="77777777" w:rsidR="00952BB6" w:rsidRPr="00EE242A" w:rsidRDefault="00952BB6" w:rsidP="000D0119">
      <w:pPr>
        <w:numPr>
          <w:ilvl w:val="0"/>
          <w:numId w:val="3"/>
        </w:numPr>
        <w:spacing w:before="60" w:after="60"/>
        <w:ind w:left="723" w:hanging="439"/>
        <w:contextualSpacing/>
      </w:pPr>
      <w:r w:rsidRPr="00EE242A">
        <w:t>razvoj pametnih i održivih rješenja i usluga kod gradova i općina</w:t>
      </w:r>
    </w:p>
    <w:p w14:paraId="08197A65" w14:textId="1670B1DE" w:rsidR="00952BB6" w:rsidRPr="00F8316D" w:rsidRDefault="00952BB6" w:rsidP="00F8316D">
      <w:pPr>
        <w:numPr>
          <w:ilvl w:val="2"/>
          <w:numId w:val="4"/>
        </w:numPr>
        <w:spacing w:after="240" w:line="240" w:lineRule="auto"/>
        <w:ind w:left="2268"/>
        <w:rPr>
          <w:rFonts w:eastAsia="Times New Roman"/>
          <w:color w:val="000000"/>
          <w:u w:val="single"/>
          <w:lang w:eastAsia="hr-HR"/>
        </w:rPr>
      </w:pPr>
      <w:r w:rsidRPr="00F8316D">
        <w:rPr>
          <w:color w:val="231F20"/>
          <w:u w:val="single"/>
          <w:shd w:val="clear" w:color="auto" w:fill="FFFFFF"/>
        </w:rPr>
        <w:t xml:space="preserve">ukupno je isplaćeno </w:t>
      </w:r>
      <w:r w:rsidR="008C4922" w:rsidRPr="00F8316D">
        <w:rPr>
          <w:b/>
          <w:bCs/>
          <w:color w:val="231F20"/>
          <w:u w:val="single"/>
          <w:shd w:val="clear" w:color="auto" w:fill="FFFFFF"/>
        </w:rPr>
        <w:t>2.270.607,37</w:t>
      </w:r>
      <w:r w:rsidRPr="00F8316D">
        <w:rPr>
          <w:b/>
          <w:bCs/>
          <w:color w:val="231F20"/>
          <w:u w:val="single"/>
          <w:shd w:val="clear" w:color="auto" w:fill="FFFFFF"/>
        </w:rPr>
        <w:t xml:space="preserve"> </w:t>
      </w:r>
      <w:r w:rsidR="008C4922" w:rsidRPr="00F8316D">
        <w:rPr>
          <w:b/>
          <w:bCs/>
          <w:color w:val="231F20"/>
          <w:u w:val="single"/>
          <w:shd w:val="clear" w:color="auto" w:fill="FFFFFF"/>
        </w:rPr>
        <w:t>eura</w:t>
      </w:r>
      <w:r w:rsidRPr="00F8316D">
        <w:rPr>
          <w:color w:val="231F20"/>
          <w:u w:val="single"/>
          <w:shd w:val="clear" w:color="auto" w:fill="FFFFFF"/>
        </w:rPr>
        <w:t xml:space="preserve"> za </w:t>
      </w:r>
      <w:r w:rsidRPr="00F8316D">
        <w:rPr>
          <w:b/>
          <w:bCs/>
          <w:color w:val="231F20"/>
          <w:u w:val="single"/>
          <w:shd w:val="clear" w:color="auto" w:fill="FFFFFF"/>
        </w:rPr>
        <w:t>1</w:t>
      </w:r>
      <w:r w:rsidR="008C4922" w:rsidRPr="00F8316D">
        <w:rPr>
          <w:b/>
          <w:bCs/>
          <w:color w:val="231F20"/>
          <w:u w:val="single"/>
          <w:shd w:val="clear" w:color="auto" w:fill="FFFFFF"/>
        </w:rPr>
        <w:t>08</w:t>
      </w:r>
      <w:r w:rsidRPr="00F8316D">
        <w:rPr>
          <w:b/>
          <w:bCs/>
          <w:color w:val="231F20"/>
          <w:u w:val="single"/>
          <w:shd w:val="clear" w:color="auto" w:fill="FFFFFF"/>
        </w:rPr>
        <w:t xml:space="preserve"> projekata</w:t>
      </w:r>
    </w:p>
    <w:p w14:paraId="45B95A4B" w14:textId="7B6E3CD1" w:rsidR="00952BB6" w:rsidRPr="00017731" w:rsidRDefault="00DF23D5" w:rsidP="00017731">
      <w:pPr>
        <w:keepNext/>
        <w:keepLines/>
        <w:numPr>
          <w:ilvl w:val="3"/>
          <w:numId w:val="0"/>
        </w:numPr>
        <w:spacing w:before="40" w:after="0"/>
        <w:ind w:left="864" w:hanging="864"/>
        <w:outlineLvl w:val="3"/>
        <w:rPr>
          <w:rFonts w:eastAsiaTheme="majorEastAsia" w:cstheme="majorBidi"/>
          <w:b/>
          <w:i/>
          <w:iCs/>
        </w:rPr>
      </w:pPr>
      <w:r>
        <w:rPr>
          <w:rFonts w:eastAsiaTheme="majorEastAsia" w:cstheme="majorBidi"/>
          <w:b/>
          <w:i/>
          <w:iCs/>
        </w:rPr>
        <w:t xml:space="preserve">3.2.1.3. </w:t>
      </w:r>
      <w:r w:rsidR="00952BB6" w:rsidRPr="00305623">
        <w:rPr>
          <w:rFonts w:eastAsiaTheme="majorEastAsia" w:cstheme="majorBidi"/>
          <w:b/>
          <w:i/>
          <w:iCs/>
        </w:rPr>
        <w:t>Energetsko siromaštvo (ES)</w:t>
      </w:r>
    </w:p>
    <w:p w14:paraId="5B5D9987" w14:textId="7A184380" w:rsidR="00305623" w:rsidRPr="00305623" w:rsidRDefault="00305623" w:rsidP="00A0071F">
      <w:pPr>
        <w:spacing w:before="60" w:after="60"/>
        <w:ind w:firstLine="426"/>
      </w:pPr>
      <w:r w:rsidRPr="00305623">
        <w:t xml:space="preserve">U sklopu ove mjere realizirane su obveze Fonda temeljem </w:t>
      </w:r>
      <w:r w:rsidRPr="00F8316D">
        <w:rPr>
          <w:i/>
          <w:iCs/>
        </w:rPr>
        <w:t>Zaključka Vlade Republike Hrvatske</w:t>
      </w:r>
      <w:r w:rsidRPr="00305623">
        <w:t xml:space="preserve"> (KLASA: 022-03/22-07/81, URBROJ: 50301-05/27-22-1) </w:t>
      </w:r>
      <w:r w:rsidRPr="00F8316D">
        <w:rPr>
          <w:i/>
          <w:iCs/>
        </w:rPr>
        <w:t xml:space="preserve">od 9. ožujka 2022. </w:t>
      </w:r>
      <w:r w:rsidRPr="00305623">
        <w:t xml:space="preserve">i </w:t>
      </w:r>
      <w:r w:rsidRPr="00F8316D">
        <w:rPr>
          <w:i/>
          <w:iCs/>
        </w:rPr>
        <w:t>Zaključka Vlade Republike Hrvatske</w:t>
      </w:r>
      <w:r w:rsidRPr="00305623">
        <w:t xml:space="preserve"> (KLASA: 022-03/23-07/93, URBROJ: 50301-05/31-23-2) </w:t>
      </w:r>
      <w:r w:rsidRPr="00F8316D">
        <w:rPr>
          <w:i/>
          <w:iCs/>
        </w:rPr>
        <w:t>od 9. ožujka 2023.</w:t>
      </w:r>
      <w:r w:rsidRPr="00305623">
        <w:t>, uplatom sredstava u Državni proračun Republike Hrvatske – za korist MINGOR-a, a u svrhu ublažavanja porasta cijene plina i toplinske energije te sprečavanja izloženosti građana energetskom siromaštvu.</w:t>
      </w:r>
    </w:p>
    <w:p w14:paraId="30D7B473" w14:textId="377D76BF" w:rsidR="00305623" w:rsidRPr="00305623" w:rsidRDefault="00305623" w:rsidP="00A0071F">
      <w:pPr>
        <w:spacing w:before="60" w:after="60"/>
        <w:ind w:firstLine="426"/>
      </w:pPr>
      <w:r w:rsidRPr="00305623">
        <w:t xml:space="preserve">Dodatno, Vlada Republike Hrvatske je </w:t>
      </w:r>
      <w:r w:rsidRPr="00F8316D">
        <w:rPr>
          <w:i/>
          <w:iCs/>
        </w:rPr>
        <w:t>Odlukom o subvencioniranju dijela krajnje cijene opskrbe plinom za krajnje kupce kategorije kućanstvo te krajnje kupce koji nisu kućanstvo s godišnjom potrošnjom plina do 10 GWh (</w:t>
      </w:r>
      <w:r w:rsidR="00097A60" w:rsidRPr="00F8316D">
        <w:rPr>
          <w:i/>
          <w:iCs/>
        </w:rPr>
        <w:t>''Narodne novine'', broj</w:t>
      </w:r>
      <w:r w:rsidRPr="00F8316D">
        <w:rPr>
          <w:i/>
          <w:iCs/>
        </w:rPr>
        <w:t xml:space="preserve"> 31/</w:t>
      </w:r>
      <w:r w:rsidR="00590646" w:rsidRPr="00F8316D">
        <w:rPr>
          <w:i/>
          <w:iCs/>
        </w:rPr>
        <w:t>20</w:t>
      </w:r>
      <w:r w:rsidRPr="00F8316D">
        <w:rPr>
          <w:i/>
          <w:iCs/>
        </w:rPr>
        <w:t>23) od 17. ožujka 2023</w:t>
      </w:r>
      <w:r w:rsidRPr="00305623">
        <w:t xml:space="preserve">., za razdoblje od 1. travnja 2023. do 31. ožujka 2024. godine, zadužila </w:t>
      </w:r>
      <w:r w:rsidR="00ED5D7F">
        <w:t>FOND</w:t>
      </w:r>
      <w:r w:rsidR="00F8316D">
        <w:t xml:space="preserve"> </w:t>
      </w:r>
      <w:r w:rsidRPr="00305623">
        <w:t xml:space="preserve">da kroz ovu aktivnost nadoknadi sredstva opskrbljivačima plinom koji su za propisani iznos subvencije umanjili neto osnovicu na računima za isporučeni plin prema krajnjim kupcima kategorije kućanstvo te mikro, malim i srednjim poduzetnicima iz kategorije krajnjih kupaca koji nisu kućanstvo s godišnjom potrošnjom plina na pojedinačnim obračunskim mjernim mjestima do 10 GWh i </w:t>
      </w:r>
      <w:r w:rsidRPr="00F8316D">
        <w:rPr>
          <w:i/>
          <w:iCs/>
        </w:rPr>
        <w:t>Odluci Vlade Republike Hrvatske o subvencioniranju dijela krajnje cijene opskrbe plinom za krajnje kupce kategorije kućanstvo (</w:t>
      </w:r>
      <w:r w:rsidR="00097A60" w:rsidRPr="00F8316D">
        <w:rPr>
          <w:i/>
          <w:iCs/>
        </w:rPr>
        <w:t>''Narodne novine'', broj</w:t>
      </w:r>
      <w:r w:rsidRPr="00F8316D">
        <w:rPr>
          <w:i/>
          <w:iCs/>
        </w:rPr>
        <w:t xml:space="preserve"> 32/24), za razdoblje od 1. travnja 2024. do 30. rujna 2024. godine</w:t>
      </w:r>
      <w:r w:rsidRPr="00305623">
        <w:t>, a u svrhu ublažavanja porasta cijene plina i sprečavanja izloženosti građana energetskom siromaštvu i Odluci o subvencioniranju dijela krajnje cijene opskrbe plinom za krajnje kupce kategorije kućanstvo za razdoblje od 1. listopada 2024. do 31. ožujka 2025. godine.</w:t>
      </w:r>
    </w:p>
    <w:p w14:paraId="5E326289" w14:textId="77777777" w:rsidR="00305623" w:rsidRPr="00305623" w:rsidRDefault="00305623" w:rsidP="00A0071F">
      <w:pPr>
        <w:spacing w:before="60" w:after="60"/>
        <w:ind w:firstLine="426"/>
      </w:pPr>
      <w:r w:rsidRPr="00305623">
        <w:t>Po Zaključcima Vlade Republike Hrvatske izvršene su sve planirane aktivnosti uplatama u Državni proračun dok su planirana sredstva za uplatu opskrbljivačima po Odluci Vlade Republike Hrvatske realizirana u manjem iznosu od planiranog, a sukladno zahtjevima opskrbljivača.</w:t>
      </w:r>
    </w:p>
    <w:p w14:paraId="7865CFFF" w14:textId="2BE12727" w:rsidR="00952BB6" w:rsidRPr="00F8316D" w:rsidRDefault="00305623" w:rsidP="00F8316D">
      <w:pPr>
        <w:pStyle w:val="Odlomakpopisa"/>
        <w:numPr>
          <w:ilvl w:val="2"/>
          <w:numId w:val="4"/>
        </w:numPr>
        <w:spacing w:before="60" w:after="60"/>
        <w:ind w:left="2268"/>
        <w:rPr>
          <w:lang w:eastAsia="hr-HR"/>
        </w:rPr>
      </w:pPr>
      <w:r w:rsidRPr="00F8316D">
        <w:rPr>
          <w:color w:val="231F20"/>
          <w:u w:val="single"/>
          <w:shd w:val="clear" w:color="auto" w:fill="FFFFFF"/>
        </w:rPr>
        <w:t>u</w:t>
      </w:r>
      <w:r w:rsidR="00F8316D" w:rsidRPr="00F8316D">
        <w:rPr>
          <w:color w:val="231F20"/>
          <w:u w:val="single"/>
          <w:shd w:val="clear" w:color="auto" w:fill="FFFFFF"/>
        </w:rPr>
        <w:t>kupno je u</w:t>
      </w:r>
      <w:r w:rsidRPr="00F8316D">
        <w:rPr>
          <w:color w:val="231F20"/>
          <w:u w:val="single"/>
          <w:shd w:val="clear" w:color="auto" w:fill="FFFFFF"/>
        </w:rPr>
        <w:t xml:space="preserve"> 2023. i 2024. godini ispla</w:t>
      </w:r>
      <w:r w:rsidR="00F8316D">
        <w:rPr>
          <w:color w:val="231F20"/>
          <w:u w:val="single"/>
          <w:shd w:val="clear" w:color="auto" w:fill="FFFFFF"/>
        </w:rPr>
        <w:t>ćeno</w:t>
      </w:r>
      <w:r w:rsidRPr="00F8316D">
        <w:rPr>
          <w:color w:val="231F20"/>
          <w:u w:val="single"/>
          <w:shd w:val="clear" w:color="auto" w:fill="FFFFFF"/>
        </w:rPr>
        <w:t xml:space="preserve"> </w:t>
      </w:r>
      <w:r w:rsidRPr="00F8316D">
        <w:rPr>
          <w:b/>
          <w:bCs/>
          <w:color w:val="231F20"/>
          <w:u w:val="single"/>
          <w:shd w:val="clear" w:color="auto" w:fill="FFFFFF"/>
        </w:rPr>
        <w:t xml:space="preserve">162.365.730,35 </w:t>
      </w:r>
      <w:r w:rsidR="00F8316D">
        <w:rPr>
          <w:b/>
          <w:bCs/>
          <w:color w:val="231F20"/>
          <w:u w:val="single"/>
          <w:shd w:val="clear" w:color="auto" w:fill="FFFFFF"/>
        </w:rPr>
        <w:t>EUR</w:t>
      </w:r>
      <w:r w:rsidRPr="00F8316D">
        <w:rPr>
          <w:color w:val="231F20"/>
          <w:u w:val="single"/>
          <w:shd w:val="clear" w:color="auto" w:fill="FFFFFF"/>
        </w:rPr>
        <w:t>.</w:t>
      </w:r>
    </w:p>
    <w:p w14:paraId="7D1E6FAC" w14:textId="77777777" w:rsidR="00F8316D" w:rsidRDefault="00F8316D" w:rsidP="00F8316D">
      <w:pPr>
        <w:pStyle w:val="Odlomakpopisa"/>
        <w:spacing w:before="60" w:after="60"/>
        <w:ind w:left="2268"/>
        <w:rPr>
          <w:lang w:eastAsia="hr-HR"/>
        </w:rPr>
      </w:pPr>
    </w:p>
    <w:p w14:paraId="5FE5675E" w14:textId="77777777" w:rsidR="00F8316D" w:rsidRDefault="00F8316D" w:rsidP="00F8316D">
      <w:pPr>
        <w:pStyle w:val="Odlomakpopisa"/>
        <w:spacing w:before="60" w:after="60"/>
        <w:ind w:left="2268"/>
        <w:rPr>
          <w:lang w:eastAsia="hr-HR"/>
        </w:rPr>
      </w:pPr>
    </w:p>
    <w:p w14:paraId="7431327E" w14:textId="77777777" w:rsidR="00F8316D" w:rsidRDefault="00F8316D" w:rsidP="00F8316D">
      <w:pPr>
        <w:pStyle w:val="Odlomakpopisa"/>
        <w:spacing w:before="60" w:after="60"/>
        <w:ind w:left="2268"/>
        <w:rPr>
          <w:lang w:eastAsia="hr-HR"/>
        </w:rPr>
      </w:pPr>
    </w:p>
    <w:p w14:paraId="0C1EC2EA" w14:textId="77777777" w:rsidR="00F8316D" w:rsidRPr="00305623" w:rsidRDefault="00F8316D" w:rsidP="00F8316D">
      <w:pPr>
        <w:pStyle w:val="Odlomakpopisa"/>
        <w:spacing w:before="60" w:after="60"/>
        <w:ind w:left="2268"/>
        <w:rPr>
          <w:lang w:eastAsia="hr-HR"/>
        </w:rPr>
      </w:pPr>
    </w:p>
    <w:p w14:paraId="74E967AA" w14:textId="4F2005A0" w:rsidR="00952BB6" w:rsidRPr="00061E8B" w:rsidRDefault="00DF23D5" w:rsidP="00952BB6">
      <w:pPr>
        <w:keepNext/>
        <w:keepLines/>
        <w:numPr>
          <w:ilvl w:val="3"/>
          <w:numId w:val="0"/>
        </w:numPr>
        <w:spacing w:before="40" w:after="0"/>
        <w:ind w:left="864" w:hanging="864"/>
        <w:outlineLvl w:val="3"/>
        <w:rPr>
          <w:rFonts w:eastAsiaTheme="majorEastAsia" w:cstheme="majorBidi"/>
          <w:b/>
          <w:i/>
          <w:iCs/>
        </w:rPr>
      </w:pPr>
      <w:r>
        <w:rPr>
          <w:rFonts w:eastAsiaTheme="majorEastAsia" w:cstheme="majorBidi"/>
          <w:b/>
          <w:i/>
          <w:iCs/>
        </w:rPr>
        <w:lastRenderedPageBreak/>
        <w:t xml:space="preserve">3.2.1.4. </w:t>
      </w:r>
      <w:r w:rsidR="00952BB6" w:rsidRPr="00061E8B">
        <w:rPr>
          <w:rFonts w:eastAsiaTheme="majorEastAsia" w:cstheme="majorBidi"/>
          <w:b/>
          <w:i/>
          <w:iCs/>
        </w:rPr>
        <w:t>Smanjenje emisija stakleničkih plinova u prometu (PR)</w:t>
      </w:r>
    </w:p>
    <w:p w14:paraId="20B122AC" w14:textId="13AF1498" w:rsidR="00952BB6" w:rsidRPr="004A2ADD" w:rsidRDefault="00952BB6" w:rsidP="00882CBC">
      <w:pPr>
        <w:spacing w:before="60" w:after="60"/>
        <w:ind w:firstLine="426"/>
      </w:pPr>
    </w:p>
    <w:p w14:paraId="468BE292" w14:textId="7F1AA27F" w:rsidR="00952BB6" w:rsidRPr="004A2ADD" w:rsidRDefault="00952BB6" w:rsidP="00882CBC">
      <w:pPr>
        <w:spacing w:before="60" w:after="60"/>
        <w:ind w:firstLine="426"/>
        <w:rPr>
          <w:lang w:eastAsia="hr-HR"/>
        </w:rPr>
      </w:pPr>
      <w:r w:rsidRPr="004A2ADD">
        <w:t>Sukladno mjeri smanjenja emisija stakleničkih plinova u prometu iz Plana II</w:t>
      </w:r>
      <w:r w:rsidR="00B907D7">
        <w:t>.</w:t>
      </w:r>
      <w:r w:rsidRPr="004A2ADD">
        <w:t xml:space="preserve"> , Fond je u 202</w:t>
      </w:r>
      <w:r w:rsidR="004A2ADD" w:rsidRPr="004A2ADD">
        <w:t>3</w:t>
      </w:r>
      <w:r w:rsidRPr="004A2ADD">
        <w:t>.</w:t>
      </w:r>
      <w:r w:rsidR="004A2ADD" w:rsidRPr="004A2ADD">
        <w:t xml:space="preserve"> i 2024.</w:t>
      </w:r>
      <w:r w:rsidRPr="004A2ADD">
        <w:t xml:space="preserve"> </w:t>
      </w:r>
      <w:r w:rsidRPr="004A2ADD">
        <w:rPr>
          <w:lang w:eastAsia="hr-HR"/>
        </w:rPr>
        <w:t xml:space="preserve">poticao </w:t>
      </w:r>
      <w:r w:rsidRPr="004A2ADD">
        <w:t xml:space="preserve">kupnju energetski učinkovitih vozila </w:t>
      </w:r>
      <w:r w:rsidRPr="004A2ADD">
        <w:rPr>
          <w:lang w:eastAsia="hr-HR"/>
        </w:rPr>
        <w:t>i razvoj pametnih i održivih rješenja i usluga u prometu kod gradova i općina.</w:t>
      </w:r>
    </w:p>
    <w:p w14:paraId="67473FB3" w14:textId="17935AA1" w:rsidR="00952BB6" w:rsidRPr="00F76B6E" w:rsidRDefault="00952BB6" w:rsidP="006C23B3">
      <w:pPr>
        <w:spacing w:after="240" w:line="240" w:lineRule="auto"/>
        <w:ind w:firstLine="425"/>
        <w:rPr>
          <w:rFonts w:eastAsia="Times New Roman"/>
          <w:color w:val="000000"/>
          <w:lang w:eastAsia="hr-HR"/>
        </w:rPr>
      </w:pPr>
      <w:r w:rsidRPr="00C27440">
        <w:rPr>
          <w:lang w:eastAsia="hr-HR"/>
        </w:rPr>
        <w:t>Isplaćena su sredstva u iznosu</w:t>
      </w:r>
      <w:r w:rsidRPr="00C27440">
        <w:rPr>
          <w:bCs/>
          <w:lang w:eastAsia="hr-HR"/>
        </w:rPr>
        <w:t xml:space="preserve"> od</w:t>
      </w:r>
      <w:r w:rsidRPr="00C27440">
        <w:rPr>
          <w:b/>
          <w:lang w:eastAsia="hr-HR"/>
        </w:rPr>
        <w:t xml:space="preserve"> </w:t>
      </w:r>
      <w:r w:rsidR="00C27440" w:rsidRPr="00C27440">
        <w:rPr>
          <w:rFonts w:eastAsia="Times New Roman"/>
          <w:b/>
          <w:color w:val="000000"/>
          <w:lang w:eastAsia="hr-HR"/>
        </w:rPr>
        <w:t>1.350.737,62</w:t>
      </w:r>
      <w:r w:rsidRPr="00C27440">
        <w:rPr>
          <w:rFonts w:eastAsia="Times New Roman"/>
          <w:b/>
          <w:color w:val="000000"/>
          <w:lang w:eastAsia="hr-HR"/>
        </w:rPr>
        <w:t xml:space="preserve"> </w:t>
      </w:r>
      <w:r w:rsidR="00C27440" w:rsidRPr="00C27440">
        <w:rPr>
          <w:rFonts w:eastAsia="Times New Roman"/>
          <w:b/>
          <w:color w:val="000000"/>
          <w:lang w:eastAsia="hr-HR"/>
        </w:rPr>
        <w:t>eura</w:t>
      </w:r>
      <w:r w:rsidRPr="00C27440">
        <w:rPr>
          <w:rFonts w:eastAsia="Times New Roman"/>
          <w:color w:val="000000"/>
          <w:lang w:eastAsia="hr-HR"/>
        </w:rPr>
        <w:t xml:space="preserve"> za ukupno </w:t>
      </w:r>
      <w:r w:rsidR="00C27440" w:rsidRPr="00C27440">
        <w:rPr>
          <w:rFonts w:eastAsia="Times New Roman"/>
          <w:b/>
          <w:bCs/>
          <w:color w:val="000000"/>
          <w:lang w:eastAsia="hr-HR"/>
        </w:rPr>
        <w:t>69</w:t>
      </w:r>
      <w:r w:rsidRPr="00C27440">
        <w:rPr>
          <w:rFonts w:eastAsia="Times New Roman"/>
          <w:color w:val="000000"/>
          <w:lang w:eastAsia="hr-HR"/>
        </w:rPr>
        <w:t xml:space="preserve"> </w:t>
      </w:r>
      <w:r w:rsidRPr="00C27440">
        <w:rPr>
          <w:rFonts w:eastAsia="Times New Roman"/>
          <w:b/>
          <w:bCs/>
          <w:lang w:eastAsia="hr-HR"/>
        </w:rPr>
        <w:t>projekata</w:t>
      </w:r>
      <w:r w:rsidRPr="00C27440">
        <w:rPr>
          <w:rFonts w:eastAsia="Times New Roman"/>
          <w:color w:val="000000"/>
          <w:lang w:eastAsia="hr-HR"/>
        </w:rPr>
        <w:t xml:space="preserve"> smanjenja emisija stakleničkih plinova u prometu.</w:t>
      </w:r>
    </w:p>
    <w:p w14:paraId="3363A6F2" w14:textId="77777777" w:rsidR="00952BB6" w:rsidRPr="00F76B6E" w:rsidRDefault="00952BB6" w:rsidP="00952BB6">
      <w:pPr>
        <w:spacing w:before="60" w:after="60"/>
        <w:rPr>
          <w:rFonts w:eastAsia="Times New Roman"/>
          <w:i/>
          <w:iCs/>
          <w:color w:val="000000"/>
          <w:u w:val="single"/>
          <w:lang w:eastAsia="hr-HR"/>
        </w:rPr>
      </w:pPr>
      <w:r w:rsidRPr="00F76B6E">
        <w:rPr>
          <w:rFonts w:eastAsia="Times New Roman"/>
          <w:i/>
          <w:iCs/>
          <w:color w:val="000000"/>
          <w:u w:val="single"/>
          <w:lang w:eastAsia="hr-HR"/>
        </w:rPr>
        <w:t>Radi se o sljedećim projektima:</w:t>
      </w:r>
    </w:p>
    <w:p w14:paraId="1108617E" w14:textId="77777777" w:rsidR="00952BB6" w:rsidRPr="00F76B6E" w:rsidRDefault="00952BB6" w:rsidP="00C1235D">
      <w:pPr>
        <w:numPr>
          <w:ilvl w:val="0"/>
          <w:numId w:val="3"/>
        </w:numPr>
        <w:spacing w:before="60" w:after="60"/>
        <w:ind w:left="723" w:hanging="439"/>
        <w:contextualSpacing/>
      </w:pPr>
      <w:r w:rsidRPr="00F76B6E">
        <w:t>energetski učinkovita vozila</w:t>
      </w:r>
    </w:p>
    <w:p w14:paraId="0990CE82" w14:textId="5D2CDE65" w:rsidR="00952BB6" w:rsidRPr="00F8316D" w:rsidRDefault="00952BB6" w:rsidP="00F8316D">
      <w:pPr>
        <w:numPr>
          <w:ilvl w:val="2"/>
          <w:numId w:val="4"/>
        </w:numPr>
        <w:spacing w:before="60" w:after="60"/>
        <w:contextualSpacing/>
        <w:rPr>
          <w:rFonts w:eastAsia="Times New Roman"/>
          <w:color w:val="000000"/>
          <w:u w:val="single"/>
          <w:lang w:eastAsia="hr-HR"/>
        </w:rPr>
      </w:pPr>
      <w:r w:rsidRPr="00F8316D">
        <w:rPr>
          <w:rFonts w:eastAsia="Times New Roman"/>
          <w:color w:val="000000"/>
          <w:u w:val="single"/>
          <w:lang w:eastAsia="hr-HR"/>
        </w:rPr>
        <w:t xml:space="preserve">ukupno je isplaćeno </w:t>
      </w:r>
      <w:r w:rsidR="00F76B6E" w:rsidRPr="00F8316D">
        <w:rPr>
          <w:rFonts w:eastAsia="Times New Roman"/>
          <w:b/>
          <w:bCs/>
          <w:color w:val="000000"/>
          <w:u w:val="single"/>
          <w:lang w:eastAsia="hr-HR"/>
        </w:rPr>
        <w:t>490.565,55</w:t>
      </w:r>
      <w:r w:rsidRPr="00F8316D">
        <w:rPr>
          <w:rFonts w:eastAsia="Times New Roman"/>
          <w:color w:val="000000"/>
          <w:u w:val="single"/>
          <w:lang w:eastAsia="hr-HR"/>
        </w:rPr>
        <w:t xml:space="preserve"> </w:t>
      </w:r>
      <w:r w:rsidR="00F76B6E" w:rsidRPr="00F8316D">
        <w:rPr>
          <w:rFonts w:eastAsia="Times New Roman"/>
          <w:color w:val="000000"/>
          <w:u w:val="single"/>
          <w:lang w:eastAsia="hr-HR"/>
        </w:rPr>
        <w:t>eura</w:t>
      </w:r>
      <w:r w:rsidRPr="00F8316D">
        <w:rPr>
          <w:rFonts w:eastAsia="Times New Roman"/>
          <w:color w:val="000000"/>
          <w:u w:val="single"/>
          <w:lang w:eastAsia="hr-HR"/>
        </w:rPr>
        <w:t xml:space="preserve"> za </w:t>
      </w:r>
      <w:r w:rsidR="00F76B6E" w:rsidRPr="00F8316D">
        <w:rPr>
          <w:rFonts w:eastAsia="Times New Roman"/>
          <w:b/>
          <w:bCs/>
          <w:color w:val="000000"/>
          <w:u w:val="single"/>
          <w:lang w:eastAsia="hr-HR"/>
        </w:rPr>
        <w:t>35</w:t>
      </w:r>
      <w:r w:rsidRPr="00F8316D">
        <w:rPr>
          <w:rFonts w:eastAsia="Times New Roman"/>
          <w:b/>
          <w:bCs/>
          <w:color w:val="000000"/>
          <w:u w:val="single"/>
          <w:lang w:eastAsia="hr-HR"/>
        </w:rPr>
        <w:t xml:space="preserve"> projek</w:t>
      </w:r>
      <w:r w:rsidR="00F76B6E" w:rsidRPr="00F8316D">
        <w:rPr>
          <w:rFonts w:eastAsia="Times New Roman"/>
          <w:b/>
          <w:bCs/>
          <w:color w:val="000000"/>
          <w:u w:val="single"/>
          <w:lang w:eastAsia="hr-HR"/>
        </w:rPr>
        <w:t>a</w:t>
      </w:r>
      <w:r w:rsidRPr="00F8316D">
        <w:rPr>
          <w:rFonts w:eastAsia="Times New Roman"/>
          <w:b/>
          <w:bCs/>
          <w:color w:val="000000"/>
          <w:u w:val="single"/>
          <w:lang w:eastAsia="hr-HR"/>
        </w:rPr>
        <w:t>ta</w:t>
      </w:r>
    </w:p>
    <w:p w14:paraId="134EF964" w14:textId="77777777" w:rsidR="00952BB6" w:rsidRPr="00041878" w:rsidRDefault="00952BB6" w:rsidP="00C1235D">
      <w:pPr>
        <w:numPr>
          <w:ilvl w:val="0"/>
          <w:numId w:val="3"/>
        </w:numPr>
        <w:spacing w:before="60" w:after="60"/>
        <w:ind w:left="723" w:hanging="439"/>
        <w:contextualSpacing/>
      </w:pPr>
      <w:r w:rsidRPr="00EC67A2">
        <w:t xml:space="preserve">razvoj </w:t>
      </w:r>
      <w:r w:rsidRPr="00041878">
        <w:t>pametnih i održivih rješenja i usluga u prometu kod gradova i općina</w:t>
      </w:r>
    </w:p>
    <w:p w14:paraId="501BACB6" w14:textId="31022B16" w:rsidR="00952BB6" w:rsidRPr="00F8316D" w:rsidRDefault="00952BB6" w:rsidP="00F8316D">
      <w:pPr>
        <w:numPr>
          <w:ilvl w:val="2"/>
          <w:numId w:val="4"/>
        </w:numPr>
        <w:spacing w:after="240" w:line="240" w:lineRule="auto"/>
        <w:rPr>
          <w:color w:val="231F20"/>
          <w:u w:val="single"/>
          <w:shd w:val="clear" w:color="auto" w:fill="FFFFFF"/>
        </w:rPr>
      </w:pPr>
      <w:r w:rsidRPr="00F8316D">
        <w:rPr>
          <w:color w:val="231F20"/>
          <w:u w:val="single"/>
          <w:shd w:val="clear" w:color="auto" w:fill="FFFFFF"/>
        </w:rPr>
        <w:t xml:space="preserve">ukupno je isplaćeno </w:t>
      </w:r>
      <w:r w:rsidR="00041878" w:rsidRPr="00F8316D">
        <w:rPr>
          <w:b/>
          <w:bCs/>
          <w:color w:val="231F20"/>
          <w:u w:val="single"/>
          <w:shd w:val="clear" w:color="auto" w:fill="FFFFFF"/>
        </w:rPr>
        <w:t>860.172,07</w:t>
      </w:r>
      <w:r w:rsidRPr="00F8316D">
        <w:rPr>
          <w:color w:val="231F20"/>
          <w:u w:val="single"/>
          <w:shd w:val="clear" w:color="auto" w:fill="FFFFFF"/>
        </w:rPr>
        <w:t xml:space="preserve"> </w:t>
      </w:r>
      <w:r w:rsidR="00041878" w:rsidRPr="00F8316D">
        <w:rPr>
          <w:color w:val="231F20"/>
          <w:u w:val="single"/>
          <w:shd w:val="clear" w:color="auto" w:fill="FFFFFF"/>
        </w:rPr>
        <w:t>eura</w:t>
      </w:r>
      <w:r w:rsidRPr="00F8316D">
        <w:rPr>
          <w:color w:val="231F20"/>
          <w:u w:val="single"/>
          <w:shd w:val="clear" w:color="auto" w:fill="FFFFFF"/>
        </w:rPr>
        <w:t xml:space="preserve"> za </w:t>
      </w:r>
      <w:r w:rsidR="00041878" w:rsidRPr="00F8316D">
        <w:rPr>
          <w:b/>
          <w:bCs/>
          <w:color w:val="231F20"/>
          <w:u w:val="single"/>
          <w:shd w:val="clear" w:color="auto" w:fill="FFFFFF"/>
        </w:rPr>
        <w:t>34</w:t>
      </w:r>
      <w:r w:rsidRPr="00F8316D">
        <w:rPr>
          <w:b/>
          <w:bCs/>
          <w:color w:val="231F20"/>
          <w:u w:val="single"/>
          <w:shd w:val="clear" w:color="auto" w:fill="FFFFFF"/>
        </w:rPr>
        <w:t xml:space="preserve"> projekta</w:t>
      </w:r>
    </w:p>
    <w:p w14:paraId="165C88EF" w14:textId="4AF42042" w:rsidR="00952BB6" w:rsidRDefault="00952BB6" w:rsidP="003F4ED2">
      <w:pPr>
        <w:spacing w:after="360" w:line="240" w:lineRule="auto"/>
        <w:ind w:firstLine="426"/>
      </w:pPr>
      <w:r w:rsidRPr="00041878">
        <w:t>Dodatno se navodi da je Fond tijekom 202</w:t>
      </w:r>
      <w:r w:rsidR="00041878" w:rsidRPr="00041878">
        <w:t>3</w:t>
      </w:r>
      <w:r w:rsidRPr="00041878">
        <w:t>.</w:t>
      </w:r>
      <w:r w:rsidR="00041878" w:rsidRPr="00041878">
        <w:t xml:space="preserve"> i 2024.</w:t>
      </w:r>
      <w:r w:rsidRPr="00041878">
        <w:t xml:space="preserve"> prihode ostvarene temeljem posebne naknade za okoliš radi </w:t>
      </w:r>
      <w:proofErr w:type="spellStart"/>
      <w:r w:rsidRPr="00041878">
        <w:t>nestavljanja</w:t>
      </w:r>
      <w:proofErr w:type="spellEnd"/>
      <w:r w:rsidRPr="00041878">
        <w:t xml:space="preserve"> biogoriva na tržište koristio za realizaciju projekata u sektoru promet koji se ne odnose na ovaj Izvještaj.</w:t>
      </w:r>
    </w:p>
    <w:p w14:paraId="6E03C15F" w14:textId="1A84B3F4" w:rsidR="00346B53" w:rsidRPr="00346B53" w:rsidRDefault="00DF23D5" w:rsidP="00346B53">
      <w:pPr>
        <w:keepNext/>
        <w:keepLines/>
        <w:numPr>
          <w:ilvl w:val="3"/>
          <w:numId w:val="0"/>
        </w:numPr>
        <w:spacing w:before="40" w:after="0"/>
        <w:ind w:left="864" w:hanging="864"/>
        <w:outlineLvl w:val="3"/>
        <w:rPr>
          <w:rFonts w:eastAsiaTheme="majorEastAsia" w:cstheme="majorBidi"/>
          <w:b/>
          <w:i/>
          <w:iCs/>
        </w:rPr>
      </w:pPr>
      <w:r>
        <w:rPr>
          <w:rFonts w:eastAsiaTheme="majorEastAsia" w:cstheme="majorBidi"/>
          <w:b/>
          <w:i/>
          <w:iCs/>
        </w:rPr>
        <w:t xml:space="preserve">3.2.1.5. </w:t>
      </w:r>
      <w:r w:rsidR="00346B53" w:rsidRPr="00346B53">
        <w:rPr>
          <w:rFonts w:eastAsiaTheme="majorEastAsia" w:cstheme="majorBidi"/>
          <w:b/>
          <w:i/>
          <w:iCs/>
        </w:rPr>
        <w:t>Istraživanja i inovacije (II)</w:t>
      </w:r>
    </w:p>
    <w:p w14:paraId="3A33AB5A" w14:textId="76CABD28" w:rsidR="00346B53" w:rsidRPr="00346B53" w:rsidRDefault="00346B53" w:rsidP="006C2302">
      <w:pPr>
        <w:spacing w:before="60" w:after="60"/>
        <w:ind w:firstLine="426"/>
      </w:pPr>
      <w:r>
        <w:t>Nove tehnologije</w:t>
      </w:r>
      <w:r w:rsidRPr="00346B53">
        <w:t>, održiva rješenja i inovacije od ključne su važnosti za ostvarivanje ciljeva Europskog zelenog plana.</w:t>
      </w:r>
    </w:p>
    <w:p w14:paraId="6B416A71" w14:textId="7EBCF273" w:rsidR="00346B53" w:rsidRPr="00346B53" w:rsidRDefault="00066EFD" w:rsidP="006C2302">
      <w:pPr>
        <w:spacing w:after="240" w:line="240" w:lineRule="auto"/>
        <w:ind w:firstLine="425"/>
      </w:pPr>
      <w:r>
        <w:t>U 2024. godini i</w:t>
      </w:r>
      <w:r w:rsidR="00346B53" w:rsidRPr="00346B53">
        <w:t xml:space="preserve">splaćena su sredstva u iznosu od </w:t>
      </w:r>
      <w:r w:rsidR="00346B53" w:rsidRPr="00346B53">
        <w:rPr>
          <w:b/>
          <w:bCs/>
        </w:rPr>
        <w:t>161.007,57 eura</w:t>
      </w:r>
      <w:r w:rsidR="00346B53" w:rsidRPr="00346B53">
        <w:t xml:space="preserve"> za ukupno </w:t>
      </w:r>
      <w:r w:rsidR="00346B53" w:rsidRPr="00346B53">
        <w:rPr>
          <w:b/>
          <w:bCs/>
        </w:rPr>
        <w:t>4 projekta</w:t>
      </w:r>
      <w:r w:rsidR="009D79F4">
        <w:t xml:space="preserve"> (u 2023. godini nije bilo isplata). </w:t>
      </w:r>
      <w:r w:rsidR="00346B53" w:rsidRPr="00346B53">
        <w:t>Napominje se da su ovo višegodišnji projekti koji će se isplaćivati sukladno dinamici provedbe projekta.</w:t>
      </w:r>
    </w:p>
    <w:p w14:paraId="479D6D95" w14:textId="49B1EEF9" w:rsidR="00346B53" w:rsidRPr="00346B53" w:rsidRDefault="00C1235D" w:rsidP="00346B53">
      <w:pPr>
        <w:spacing w:before="60" w:after="60"/>
        <w:rPr>
          <w:i/>
          <w:iCs/>
          <w:u w:val="single"/>
        </w:rPr>
      </w:pPr>
      <w:r w:rsidRPr="00C1235D">
        <w:rPr>
          <w:i/>
          <w:iCs/>
          <w:u w:val="single"/>
        </w:rPr>
        <w:t>Radi se o</w:t>
      </w:r>
      <w:r w:rsidR="00346B53" w:rsidRPr="00346B53">
        <w:rPr>
          <w:i/>
          <w:iCs/>
          <w:u w:val="single"/>
        </w:rPr>
        <w:t xml:space="preserve"> sljedećim projektima:</w:t>
      </w:r>
    </w:p>
    <w:p w14:paraId="7DA1B173" w14:textId="77777777" w:rsidR="00503257" w:rsidRDefault="00346B53" w:rsidP="00503257">
      <w:pPr>
        <w:pStyle w:val="Odlomakpopisa"/>
        <w:numPr>
          <w:ilvl w:val="0"/>
          <w:numId w:val="3"/>
        </w:numPr>
        <w:spacing w:before="60" w:after="60"/>
        <w:ind w:left="709" w:hanging="425"/>
      </w:pPr>
      <w:r w:rsidRPr="00346B53">
        <w:t>Zeleno povrće za Zeleni plan (</w:t>
      </w:r>
      <w:proofErr w:type="spellStart"/>
      <w:r w:rsidRPr="00346B53">
        <w:t>ZEPzaZEP</w:t>
      </w:r>
      <w:proofErr w:type="spellEnd"/>
      <w:r w:rsidRPr="00346B53">
        <w:t>) Sveučilišta u Slavonskom Brodu koji se dijelom financira iz mjere IRSP</w:t>
      </w:r>
    </w:p>
    <w:p w14:paraId="7619F101" w14:textId="0D4DD2EE" w:rsidR="00346B53" w:rsidRPr="00F8316D" w:rsidRDefault="00346B53" w:rsidP="00F8316D">
      <w:pPr>
        <w:pStyle w:val="Odlomakpopisa"/>
        <w:numPr>
          <w:ilvl w:val="2"/>
          <w:numId w:val="3"/>
        </w:numPr>
        <w:spacing w:before="60" w:after="60"/>
        <w:rPr>
          <w:u w:val="single"/>
        </w:rPr>
      </w:pPr>
      <w:r w:rsidRPr="00F8316D">
        <w:rPr>
          <w:u w:val="single"/>
        </w:rPr>
        <w:t xml:space="preserve">ukupno je isplaćeno </w:t>
      </w:r>
      <w:r w:rsidRPr="00F8316D">
        <w:rPr>
          <w:b/>
          <w:bCs/>
          <w:u w:val="single"/>
        </w:rPr>
        <w:t>49.443,21 eura</w:t>
      </w:r>
    </w:p>
    <w:p w14:paraId="7D57EF3C" w14:textId="77777777" w:rsidR="00503257" w:rsidRDefault="00346B53" w:rsidP="00503257">
      <w:pPr>
        <w:pStyle w:val="Odlomakpopisa"/>
        <w:numPr>
          <w:ilvl w:val="0"/>
          <w:numId w:val="3"/>
        </w:numPr>
        <w:spacing w:before="60" w:after="60"/>
        <w:ind w:left="709" w:hanging="425"/>
      </w:pPr>
      <w:r w:rsidRPr="00346B53">
        <w:t xml:space="preserve">Istraživanje i razvoj upravljačkih algoritama za rad </w:t>
      </w:r>
      <w:proofErr w:type="spellStart"/>
      <w:r w:rsidRPr="00346B53">
        <w:t>elektrolizatora</w:t>
      </w:r>
      <w:proofErr w:type="spellEnd"/>
      <w:r w:rsidRPr="00346B53">
        <w:t xml:space="preserve"> s izrazito promjenjivim ulaznim strujama Sveučilišta u Splitu – Fakulteta elektrotehnike, strojarstva i brodogradnje</w:t>
      </w:r>
    </w:p>
    <w:p w14:paraId="12E412E9" w14:textId="4F2FF1B1" w:rsidR="00346B53" w:rsidRPr="00F8316D" w:rsidRDefault="00346B53" w:rsidP="00F8316D">
      <w:pPr>
        <w:pStyle w:val="Odlomakpopisa"/>
        <w:numPr>
          <w:ilvl w:val="2"/>
          <w:numId w:val="3"/>
        </w:numPr>
        <w:spacing w:before="60" w:after="60"/>
        <w:rPr>
          <w:u w:val="single"/>
        </w:rPr>
      </w:pPr>
      <w:r w:rsidRPr="00F8316D">
        <w:rPr>
          <w:u w:val="single"/>
        </w:rPr>
        <w:t xml:space="preserve">ukupno je isplaćeno </w:t>
      </w:r>
      <w:r w:rsidRPr="00F8316D">
        <w:rPr>
          <w:b/>
          <w:bCs/>
          <w:u w:val="single"/>
        </w:rPr>
        <w:t>63.285,15 eura</w:t>
      </w:r>
    </w:p>
    <w:p w14:paraId="4EAABCDC" w14:textId="77777777" w:rsidR="00503257" w:rsidRDefault="00346B53" w:rsidP="00503257">
      <w:pPr>
        <w:pStyle w:val="Odlomakpopisa"/>
        <w:numPr>
          <w:ilvl w:val="0"/>
          <w:numId w:val="3"/>
        </w:numPr>
        <w:spacing w:before="60" w:after="60"/>
        <w:ind w:left="709" w:hanging="425"/>
      </w:pPr>
      <w:r w:rsidRPr="00346B53">
        <w:t>Novi katalitički materijali za proizvodnju zelenog vodika Instituta za fiziku</w:t>
      </w:r>
    </w:p>
    <w:p w14:paraId="2FAFB023" w14:textId="743C76E9" w:rsidR="00346B53" w:rsidRPr="00F8316D" w:rsidRDefault="00346B53" w:rsidP="00F8316D">
      <w:pPr>
        <w:pStyle w:val="Odlomakpopisa"/>
        <w:numPr>
          <w:ilvl w:val="2"/>
          <w:numId w:val="3"/>
        </w:numPr>
        <w:spacing w:before="60" w:after="60"/>
        <w:rPr>
          <w:u w:val="single"/>
        </w:rPr>
      </w:pPr>
      <w:r w:rsidRPr="00F8316D">
        <w:rPr>
          <w:u w:val="single"/>
        </w:rPr>
        <w:t xml:space="preserve">ukupno je isplaćeno </w:t>
      </w:r>
      <w:r w:rsidRPr="00F8316D">
        <w:rPr>
          <w:b/>
          <w:bCs/>
          <w:u w:val="single"/>
        </w:rPr>
        <w:t>33.368,19 eura</w:t>
      </w:r>
    </w:p>
    <w:p w14:paraId="15AB2F90" w14:textId="77777777" w:rsidR="00FC43AC" w:rsidRDefault="00346B53" w:rsidP="00346B53">
      <w:pPr>
        <w:pStyle w:val="Odlomakpopisa"/>
        <w:numPr>
          <w:ilvl w:val="0"/>
          <w:numId w:val="3"/>
        </w:numPr>
        <w:spacing w:before="60" w:after="60"/>
        <w:ind w:left="709" w:hanging="425"/>
      </w:pPr>
      <w:r w:rsidRPr="00346B53">
        <w:t xml:space="preserve">Energetski park baziran na tehnologiji vodika i baterijskog sustava u </w:t>
      </w:r>
      <w:proofErr w:type="spellStart"/>
      <w:r w:rsidRPr="00346B53">
        <w:t>niskougljičnoj</w:t>
      </w:r>
      <w:proofErr w:type="spellEnd"/>
      <w:r w:rsidRPr="00346B53">
        <w:t xml:space="preserve"> tranziciji sjevernog Jadrana Sveučilišta u Rijeci – Tehnički fakultet</w:t>
      </w:r>
    </w:p>
    <w:p w14:paraId="02838D85" w14:textId="1A3D44ED" w:rsidR="00346B53" w:rsidRPr="00F8316D" w:rsidRDefault="00F8316D" w:rsidP="00F8316D">
      <w:pPr>
        <w:pStyle w:val="Odlomakpopisa"/>
        <w:numPr>
          <w:ilvl w:val="2"/>
          <w:numId w:val="3"/>
        </w:numPr>
        <w:spacing w:before="60" w:after="60"/>
        <w:rPr>
          <w:u w:val="single"/>
        </w:rPr>
      </w:pPr>
      <w:r>
        <w:rPr>
          <w:u w:val="single"/>
        </w:rPr>
        <w:t>u</w:t>
      </w:r>
      <w:r w:rsidR="00346B53" w:rsidRPr="00F8316D">
        <w:rPr>
          <w:u w:val="single"/>
        </w:rPr>
        <w:t xml:space="preserve">kupno je isplaćeno </w:t>
      </w:r>
      <w:r w:rsidR="00346B53" w:rsidRPr="00F8316D">
        <w:rPr>
          <w:b/>
          <w:bCs/>
          <w:u w:val="single"/>
        </w:rPr>
        <w:t>14.911,02 eura</w:t>
      </w:r>
    </w:p>
    <w:p w14:paraId="38F36BFA" w14:textId="77777777" w:rsidR="00F8316D" w:rsidRDefault="00F8316D" w:rsidP="00F8316D">
      <w:pPr>
        <w:spacing w:before="60" w:after="60"/>
        <w:rPr>
          <w:u w:val="single"/>
        </w:rPr>
      </w:pPr>
    </w:p>
    <w:p w14:paraId="475F0293" w14:textId="77777777" w:rsidR="00F8316D" w:rsidRDefault="00F8316D" w:rsidP="00F8316D">
      <w:pPr>
        <w:spacing w:before="60" w:after="60"/>
        <w:rPr>
          <w:u w:val="single"/>
        </w:rPr>
      </w:pPr>
    </w:p>
    <w:p w14:paraId="3B1D9731" w14:textId="77777777" w:rsidR="00F8316D" w:rsidRDefault="00F8316D" w:rsidP="00F8316D">
      <w:pPr>
        <w:spacing w:before="60" w:after="60"/>
        <w:rPr>
          <w:u w:val="single"/>
        </w:rPr>
      </w:pPr>
    </w:p>
    <w:p w14:paraId="1F1833C0" w14:textId="77777777" w:rsidR="00F8316D" w:rsidRPr="00F8316D" w:rsidRDefault="00F8316D" w:rsidP="00F8316D">
      <w:pPr>
        <w:spacing w:before="60" w:after="60"/>
        <w:rPr>
          <w:u w:val="single"/>
        </w:rPr>
      </w:pPr>
    </w:p>
    <w:p w14:paraId="76FE08C5" w14:textId="562614B9" w:rsidR="00952BB6" w:rsidRDefault="00077A5D" w:rsidP="00B907D7">
      <w:pPr>
        <w:keepNext/>
        <w:keepLines/>
        <w:numPr>
          <w:ilvl w:val="2"/>
          <w:numId w:val="0"/>
        </w:numPr>
        <w:spacing w:after="0" w:line="240" w:lineRule="auto"/>
        <w:ind w:left="720" w:hanging="720"/>
        <w:outlineLvl w:val="2"/>
        <w:rPr>
          <w:rFonts w:eastAsiaTheme="majorEastAsia" w:cstheme="majorBidi"/>
          <w:b/>
          <w:szCs w:val="26"/>
        </w:rPr>
      </w:pPr>
      <w:bookmarkStart w:id="39" w:name="_Toc156830342"/>
      <w:bookmarkStart w:id="40" w:name="_Toc226980237"/>
      <w:r>
        <w:rPr>
          <w:rFonts w:eastAsiaTheme="majorEastAsia" w:cstheme="majorBidi"/>
          <w:b/>
          <w:szCs w:val="26"/>
        </w:rPr>
        <w:lastRenderedPageBreak/>
        <w:t>4</w:t>
      </w:r>
      <w:r w:rsidR="00DF23D5">
        <w:rPr>
          <w:rFonts w:eastAsiaTheme="majorEastAsia" w:cstheme="majorBidi"/>
          <w:b/>
          <w:szCs w:val="26"/>
        </w:rPr>
        <w:t xml:space="preserve">.2.2. </w:t>
      </w:r>
      <w:proofErr w:type="spellStart"/>
      <w:r w:rsidR="00952BB6" w:rsidRPr="00DD0708">
        <w:rPr>
          <w:rFonts w:eastAsiaTheme="majorEastAsia" w:cstheme="majorBidi"/>
          <w:b/>
          <w:szCs w:val="26"/>
        </w:rPr>
        <w:t>Neenergetski</w:t>
      </w:r>
      <w:proofErr w:type="spellEnd"/>
      <w:r w:rsidR="00952BB6" w:rsidRPr="00DD0708">
        <w:rPr>
          <w:rFonts w:eastAsiaTheme="majorEastAsia" w:cstheme="majorBidi"/>
          <w:b/>
          <w:szCs w:val="26"/>
        </w:rPr>
        <w:t xml:space="preserve"> sektor (uključujući sektor gospodarenja otpadom) (NES i OT)</w:t>
      </w:r>
      <w:bookmarkEnd w:id="39"/>
      <w:bookmarkEnd w:id="40"/>
    </w:p>
    <w:p w14:paraId="08001CD8" w14:textId="77777777" w:rsidR="00B907D7" w:rsidRPr="00DF23D5" w:rsidRDefault="00B907D7" w:rsidP="00DF23D5"/>
    <w:p w14:paraId="0AA36681" w14:textId="77777777" w:rsidR="00952BB6" w:rsidRPr="00DD0708" w:rsidRDefault="00952BB6" w:rsidP="00B907D7">
      <w:pPr>
        <w:spacing w:after="0" w:line="240" w:lineRule="auto"/>
        <w:ind w:firstLine="709"/>
        <w:rPr>
          <w:lang w:eastAsia="hr-HR"/>
        </w:rPr>
      </w:pPr>
      <w:r w:rsidRPr="00DD0708">
        <w:rPr>
          <w:lang w:eastAsia="hr-HR"/>
        </w:rPr>
        <w:t xml:space="preserve">Smanjenje emisije stakleničkih plinova u </w:t>
      </w:r>
      <w:proofErr w:type="spellStart"/>
      <w:r w:rsidRPr="00DD0708">
        <w:rPr>
          <w:lang w:eastAsia="hr-HR"/>
        </w:rPr>
        <w:t>neenergetskim</w:t>
      </w:r>
      <w:proofErr w:type="spellEnd"/>
      <w:r w:rsidRPr="00DD0708">
        <w:rPr>
          <w:lang w:eastAsia="hr-HR"/>
        </w:rPr>
        <w:t xml:space="preserve"> sektorima podrazumijeva emisije iz sektora:</w:t>
      </w:r>
    </w:p>
    <w:p w14:paraId="39A01CEF" w14:textId="77777777" w:rsidR="00952BB6" w:rsidRPr="00DD0708" w:rsidRDefault="00952BB6" w:rsidP="00B907D7">
      <w:pPr>
        <w:numPr>
          <w:ilvl w:val="0"/>
          <w:numId w:val="3"/>
        </w:numPr>
        <w:spacing w:after="0" w:line="240" w:lineRule="auto"/>
        <w:ind w:left="723"/>
        <w:contextualSpacing/>
      </w:pPr>
      <w:r w:rsidRPr="00DD0708">
        <w:t>industrijski procesi</w:t>
      </w:r>
    </w:p>
    <w:p w14:paraId="4E82CDE5" w14:textId="77777777" w:rsidR="00952BB6" w:rsidRPr="00DD0708" w:rsidRDefault="00952BB6" w:rsidP="00B907D7">
      <w:pPr>
        <w:numPr>
          <w:ilvl w:val="0"/>
          <w:numId w:val="3"/>
        </w:numPr>
        <w:spacing w:after="0" w:line="240" w:lineRule="auto"/>
        <w:ind w:left="723"/>
        <w:contextualSpacing/>
      </w:pPr>
      <w:r w:rsidRPr="00DD0708">
        <w:t>gospodarenje otpadom.</w:t>
      </w:r>
    </w:p>
    <w:p w14:paraId="0B21B890" w14:textId="77777777" w:rsidR="00952BB6" w:rsidRPr="00DD0708" w:rsidRDefault="00952BB6" w:rsidP="00952BB6">
      <w:pPr>
        <w:spacing w:before="60" w:after="60"/>
        <w:rPr>
          <w:lang w:eastAsia="hr-HR"/>
        </w:rPr>
      </w:pPr>
    </w:p>
    <w:p w14:paraId="27B23525" w14:textId="77777777" w:rsidR="00952BB6" w:rsidRPr="00DD0708" w:rsidRDefault="00952BB6" w:rsidP="00B907D7">
      <w:pPr>
        <w:spacing w:before="60" w:after="60"/>
        <w:ind w:firstLine="709"/>
        <w:rPr>
          <w:lang w:eastAsia="hr-HR"/>
        </w:rPr>
      </w:pPr>
      <w:r w:rsidRPr="00DD0708">
        <w:rPr>
          <w:lang w:eastAsia="hr-HR"/>
        </w:rPr>
        <w:t xml:space="preserve">U </w:t>
      </w:r>
      <w:proofErr w:type="spellStart"/>
      <w:r w:rsidRPr="00DD0708">
        <w:rPr>
          <w:lang w:eastAsia="hr-HR"/>
        </w:rPr>
        <w:t>neenergetskim</w:t>
      </w:r>
      <w:proofErr w:type="spellEnd"/>
      <w:r w:rsidRPr="00DD0708">
        <w:rPr>
          <w:lang w:eastAsia="hr-HR"/>
        </w:rPr>
        <w:t xml:space="preserve"> sektorima moguće je primijeniti niz mjera za smanjenje emisija stakleničkih plinova, s tim da određene mjere zapravo predstavljaju mjere energetske učinkovitosti i obnovljivih izvora energije. Međutim, osnovno je pitanje prihvatljivosti dotičnih troškova, odnosno učinkovitosti mjere. Stoga je za moguće mjere optimalno izraditi svojevrsne analize troškova i koristi kako bi se identificirala najveća korist, u smislu smanjenja emisija stakleničkih plinova, uz najmanji trošak. </w:t>
      </w:r>
    </w:p>
    <w:p w14:paraId="7AAD9532" w14:textId="77777777" w:rsidR="00952BB6" w:rsidRPr="00DD0708" w:rsidRDefault="00952BB6" w:rsidP="00B907D7">
      <w:pPr>
        <w:spacing w:before="60" w:after="60"/>
        <w:ind w:firstLine="709"/>
        <w:rPr>
          <w:lang w:eastAsia="hr-HR"/>
        </w:rPr>
      </w:pPr>
    </w:p>
    <w:p w14:paraId="70418750" w14:textId="77777777" w:rsidR="00952BB6" w:rsidRPr="00DD0708" w:rsidRDefault="00952BB6" w:rsidP="00B907D7">
      <w:pPr>
        <w:spacing w:before="60" w:after="60"/>
        <w:ind w:firstLine="709"/>
        <w:rPr>
          <w:lang w:eastAsia="hr-HR"/>
        </w:rPr>
      </w:pPr>
      <w:r w:rsidRPr="00DD0708">
        <w:rPr>
          <w:lang w:eastAsia="hr-HR"/>
        </w:rPr>
        <w:t xml:space="preserve">Financijska sredstva namijenjena su za pripremu i izradu programa tehničke pomoći te potrebne dokumentacije za prijavu projekata na natječaje za EU i nacionalne fondove/izvore financiranja, za gospodarske subjekte u EU ETS-u obuhvaćenih Direktivom 2003/87/EZ za projekate kojima će se omogućiti provedbu mjera smanjenja emisija stakleničkih plinova, povećanja korištenja obnovljivih izvora energije i povećanja energetske učinkovitosti u svrhu provedbe </w:t>
      </w:r>
      <w:proofErr w:type="spellStart"/>
      <w:r w:rsidRPr="00DD0708">
        <w:rPr>
          <w:lang w:eastAsia="hr-HR"/>
        </w:rPr>
        <w:t>niskougljične</w:t>
      </w:r>
      <w:proofErr w:type="spellEnd"/>
      <w:r w:rsidRPr="00DD0708">
        <w:rPr>
          <w:lang w:eastAsia="hr-HR"/>
        </w:rPr>
        <w:t xml:space="preserve"> tranzicije.</w:t>
      </w:r>
    </w:p>
    <w:p w14:paraId="1CF0F47C" w14:textId="77777777" w:rsidR="00952BB6" w:rsidRPr="00DD0708" w:rsidRDefault="00952BB6" w:rsidP="00B907D7">
      <w:pPr>
        <w:spacing w:before="60" w:after="60"/>
        <w:ind w:firstLine="709"/>
        <w:rPr>
          <w:lang w:eastAsia="hr-HR"/>
        </w:rPr>
      </w:pPr>
    </w:p>
    <w:p w14:paraId="62E00C97" w14:textId="77777777" w:rsidR="00952BB6" w:rsidRPr="00DD0708" w:rsidRDefault="00952BB6" w:rsidP="00B907D7">
      <w:pPr>
        <w:spacing w:before="60" w:after="60"/>
        <w:ind w:firstLine="709"/>
        <w:rPr>
          <w:lang w:eastAsia="hr-HR"/>
        </w:rPr>
      </w:pPr>
      <w:r w:rsidRPr="00DD0708">
        <w:rPr>
          <w:lang w:eastAsia="hr-HR"/>
        </w:rPr>
        <w:t xml:space="preserve">Sektor gospodarenja otpadom doprinosi ukupnoj nacionalnoj emisiji prosječno 7 %, s tim da je od 1990. godine vidljiv trend porasta dok posljednjih godina nisu zabilježene veće oscilacije. Najznačajniji podsektor je podsektor odlaganja krutog komunalnog otpada. Uzimajući u obzir zakonske odredbe iz domene otpada, preuzete obveze iz europskih direktiva i mogući utjecaj otpada na niz drugih sastavnica okoliša, razvidan je širi značaj ovog sektora osim u području emisija stakleničkih plinova. Primjenom mjera u ovom sektoru može se očekivati niz koristi i u drugim područjima. </w:t>
      </w:r>
    </w:p>
    <w:p w14:paraId="484FEB00" w14:textId="77777777" w:rsidR="00952BB6" w:rsidRPr="00DD0708" w:rsidRDefault="00952BB6" w:rsidP="00B907D7">
      <w:pPr>
        <w:spacing w:before="60" w:after="60"/>
        <w:ind w:firstLine="709"/>
        <w:rPr>
          <w:lang w:eastAsia="hr-HR"/>
        </w:rPr>
      </w:pPr>
    </w:p>
    <w:p w14:paraId="3CF7394A" w14:textId="6AFA1824" w:rsidR="00952BB6" w:rsidRPr="00DD0708" w:rsidRDefault="00952BB6" w:rsidP="00B907D7">
      <w:pPr>
        <w:spacing w:before="60" w:after="60"/>
        <w:ind w:firstLine="709"/>
      </w:pPr>
      <w:r w:rsidRPr="00DD0708">
        <w:rPr>
          <w:lang w:eastAsia="hr-HR"/>
        </w:rPr>
        <w:t>Osnovnu podlogu za prijedlog mjera za smanjenje emisije stakleničkih plinova u sektoru gospodarenja otpadom čini Plan gospodarenja otpadom Republike Hrvatske za razdoblje 20</w:t>
      </w:r>
      <w:r w:rsidR="00DD0708">
        <w:rPr>
          <w:lang w:eastAsia="hr-HR"/>
        </w:rPr>
        <w:t>23</w:t>
      </w:r>
      <w:r w:rsidRPr="00DD0708">
        <w:rPr>
          <w:lang w:eastAsia="hr-HR"/>
        </w:rPr>
        <w:t>. - 202</w:t>
      </w:r>
      <w:r w:rsidR="00DD0708">
        <w:rPr>
          <w:lang w:eastAsia="hr-HR"/>
        </w:rPr>
        <w:t>8</w:t>
      </w:r>
      <w:r w:rsidRPr="00DD0708">
        <w:rPr>
          <w:lang w:eastAsia="hr-HR"/>
        </w:rPr>
        <w:t xml:space="preserve">. godine („Narodne novine“, broj </w:t>
      </w:r>
      <w:r w:rsidR="00DD0708">
        <w:rPr>
          <w:lang w:eastAsia="hr-HR"/>
        </w:rPr>
        <w:t>84</w:t>
      </w:r>
      <w:r w:rsidRPr="00DD0708">
        <w:rPr>
          <w:lang w:eastAsia="hr-HR"/>
        </w:rPr>
        <w:t>/</w:t>
      </w:r>
      <w:r w:rsidR="00DD0708">
        <w:rPr>
          <w:lang w:eastAsia="hr-HR"/>
        </w:rPr>
        <w:t>23),</w:t>
      </w:r>
      <w:r w:rsidR="00DD0708" w:rsidRPr="00DD0708">
        <w:t xml:space="preserve"> </w:t>
      </w:r>
      <w:r w:rsidR="00DD0708" w:rsidRPr="00DD0708">
        <w:rPr>
          <w:lang w:eastAsia="hr-HR"/>
        </w:rPr>
        <w:t>Odluka o donošenju Izmjena i dopuna Plana gospodarenja otpadom Republike Hrvatske za razdoblje 2023. – 2028. godine („Narodne novine“, broj 104/25)</w:t>
      </w:r>
      <w:r w:rsidR="00DD0708">
        <w:rPr>
          <w:lang w:eastAsia="hr-HR"/>
        </w:rPr>
        <w:t xml:space="preserve"> </w:t>
      </w:r>
      <w:r w:rsidRPr="00DD0708">
        <w:rPr>
          <w:lang w:eastAsia="hr-HR"/>
        </w:rPr>
        <w:t>i novi Akcijski plan za kružno gospodarstvo EU-a.</w:t>
      </w:r>
    </w:p>
    <w:p w14:paraId="735DA100" w14:textId="77777777" w:rsidR="00952BB6" w:rsidRPr="00DD0708" w:rsidRDefault="00952BB6" w:rsidP="00952BB6">
      <w:pPr>
        <w:spacing w:before="60" w:after="60"/>
      </w:pPr>
    </w:p>
    <w:p w14:paraId="2AA8B3C2" w14:textId="1D903327" w:rsidR="00E46F0B" w:rsidRDefault="00E46F0B" w:rsidP="00FE5FC0">
      <w:pPr>
        <w:spacing w:before="60" w:after="60"/>
        <w:ind w:firstLine="709"/>
        <w:rPr>
          <w:b/>
          <w:bCs/>
        </w:rPr>
      </w:pPr>
      <w:r w:rsidRPr="00E46F0B">
        <w:t xml:space="preserve">Mjere NES koje su provedene u 2023. i 2024. godini odnose se na ukupno </w:t>
      </w:r>
      <w:r w:rsidR="00262AA1">
        <w:t xml:space="preserve">34 </w:t>
      </w:r>
      <w:r w:rsidRPr="00E46F0B">
        <w:t xml:space="preserve">projekta u iznosu od </w:t>
      </w:r>
      <w:r w:rsidRPr="00E46F0B">
        <w:rPr>
          <w:b/>
          <w:bCs/>
        </w:rPr>
        <w:t>2.674.770,47 EUR</w:t>
      </w:r>
      <w:r>
        <w:rPr>
          <w:b/>
          <w:bCs/>
        </w:rPr>
        <w:t>:</w:t>
      </w:r>
    </w:p>
    <w:p w14:paraId="3B75E153" w14:textId="5FEFA6A0" w:rsidR="00E46F0B" w:rsidRDefault="00FE5FC0" w:rsidP="00E46F0B">
      <w:pPr>
        <w:spacing w:before="60" w:after="60"/>
        <w:rPr>
          <w:i/>
          <w:iCs/>
        </w:rPr>
      </w:pPr>
      <w:r>
        <w:t>a)</w:t>
      </w:r>
      <w:r w:rsidR="00E46F0B">
        <w:t xml:space="preserve"> realizacija</w:t>
      </w:r>
      <w:r w:rsidR="00952BB6" w:rsidRPr="00E46F0B">
        <w:t xml:space="preserve"> projek</w:t>
      </w:r>
      <w:r>
        <w:t>a</w:t>
      </w:r>
      <w:r w:rsidR="00952BB6" w:rsidRPr="00E46F0B">
        <w:t>ta</w:t>
      </w:r>
      <w:r w:rsidR="00E46F0B" w:rsidRPr="00E46F0B">
        <w:rPr>
          <w:b/>
          <w:bCs/>
        </w:rPr>
        <w:t xml:space="preserve"> </w:t>
      </w:r>
      <w:r w:rsidRPr="00FE5FC0">
        <w:t xml:space="preserve">provedenih sukladno </w:t>
      </w:r>
      <w:r w:rsidRPr="00FE5FC0">
        <w:rPr>
          <w:i/>
          <w:iCs/>
        </w:rPr>
        <w:t>Javnom pozivu za financiranje izrade projektne dokumentacije smanjenja stakleničkih plinova u industrijskim postrojenjima (ZO 07/2022).</w:t>
      </w:r>
    </w:p>
    <w:p w14:paraId="5987EFFC" w14:textId="204F5B76" w:rsidR="00FE5FC0" w:rsidRDefault="00FE5FC0" w:rsidP="00E46F0B">
      <w:pPr>
        <w:spacing w:before="60" w:after="60"/>
      </w:pPr>
      <w:r w:rsidRPr="00FE5FC0">
        <w:t xml:space="preserve">Realizirano je </w:t>
      </w:r>
      <w:r>
        <w:t>7</w:t>
      </w:r>
      <w:r w:rsidRPr="00FE5FC0">
        <w:t xml:space="preserve"> projek</w:t>
      </w:r>
      <w:r>
        <w:t>a</w:t>
      </w:r>
      <w:r w:rsidRPr="00FE5FC0">
        <w:t xml:space="preserve">ta: Podravka d.d., </w:t>
      </w:r>
      <w:proofErr w:type="spellStart"/>
      <w:r w:rsidRPr="00FE5FC0">
        <w:t>InterCal</w:t>
      </w:r>
      <w:proofErr w:type="spellEnd"/>
      <w:r w:rsidRPr="00FE5FC0">
        <w:t xml:space="preserve"> Croatia d.o.o., Holcim d.o.o., </w:t>
      </w:r>
      <w:proofErr w:type="spellStart"/>
      <w:r w:rsidRPr="00FE5FC0">
        <w:t>Rockwool</w:t>
      </w:r>
      <w:proofErr w:type="spellEnd"/>
      <w:r w:rsidRPr="00FE5FC0">
        <w:t xml:space="preserve"> d.o.o.</w:t>
      </w:r>
      <w:r>
        <w:t xml:space="preserve">, </w:t>
      </w:r>
      <w:r w:rsidRPr="00FE5FC0">
        <w:t>Hrvatska industrija šećera d.d.</w:t>
      </w:r>
      <w:r>
        <w:t>,</w:t>
      </w:r>
      <w:r w:rsidRPr="00FE5FC0">
        <w:t xml:space="preserve"> CEMEX Hrvatska d.d.</w:t>
      </w:r>
      <w:r>
        <w:t xml:space="preserve"> i</w:t>
      </w:r>
      <w:r w:rsidRPr="00FE5FC0">
        <w:t xml:space="preserve"> </w:t>
      </w:r>
      <w:proofErr w:type="spellStart"/>
      <w:r w:rsidRPr="00FE5FC0">
        <w:t>Calucem</w:t>
      </w:r>
      <w:proofErr w:type="spellEnd"/>
      <w:r w:rsidRPr="00FE5FC0">
        <w:t xml:space="preserve"> d.o.o.</w:t>
      </w:r>
      <w:r>
        <w:t xml:space="preserve">, </w:t>
      </w:r>
      <w:r w:rsidRPr="00FE5FC0">
        <w:t xml:space="preserve">koji su hrvatski </w:t>
      </w:r>
      <w:r w:rsidRPr="00FE5FC0">
        <w:lastRenderedPageBreak/>
        <w:t xml:space="preserve">gospodarski subjekti koji su uključeni u Europski sustav trgovanja emisijskim jedinicama i kojima je financirana izrada tehničke dokumentacije potrebne za provedbu mjera </w:t>
      </w:r>
      <w:proofErr w:type="spellStart"/>
      <w:r w:rsidRPr="00FE5FC0">
        <w:t>niskougljične</w:t>
      </w:r>
      <w:proofErr w:type="spellEnd"/>
      <w:r w:rsidRPr="00FE5FC0">
        <w:t xml:space="preserve"> tranzicije kojom će se prijavljivati na EU fondove za daljnja financiranja.</w:t>
      </w:r>
    </w:p>
    <w:p w14:paraId="5343B696" w14:textId="76E8B406" w:rsidR="00F8316D" w:rsidRDefault="00F8316D" w:rsidP="00F8316D">
      <w:pPr>
        <w:pStyle w:val="Odlomakpopisa"/>
        <w:numPr>
          <w:ilvl w:val="2"/>
          <w:numId w:val="3"/>
        </w:numPr>
        <w:spacing w:before="60" w:after="60"/>
        <w:ind w:left="2268"/>
      </w:pPr>
      <w:r w:rsidRPr="00F8316D">
        <w:rPr>
          <w:u w:val="single"/>
        </w:rPr>
        <w:t xml:space="preserve">Ukupno je isplaćeno </w:t>
      </w:r>
      <w:r w:rsidRPr="00F8316D">
        <w:rPr>
          <w:b/>
          <w:bCs/>
          <w:u w:val="single"/>
        </w:rPr>
        <w:t>580.725,55 EUR</w:t>
      </w:r>
    </w:p>
    <w:p w14:paraId="052F754A" w14:textId="77777777" w:rsidR="00FE5FC0" w:rsidRDefault="00FE5FC0" w:rsidP="00E46F0B">
      <w:pPr>
        <w:spacing w:before="60" w:after="60"/>
      </w:pPr>
    </w:p>
    <w:p w14:paraId="61A1EC22" w14:textId="13CD7656" w:rsidR="00FE5FC0" w:rsidRPr="00FE5FC0" w:rsidRDefault="00FE5FC0" w:rsidP="00E46F0B">
      <w:pPr>
        <w:spacing w:before="60" w:after="60"/>
        <w:rPr>
          <w:i/>
          <w:iCs/>
        </w:rPr>
      </w:pPr>
      <w:r>
        <w:t xml:space="preserve">b) </w:t>
      </w:r>
      <w:r w:rsidRPr="00FE5FC0">
        <w:t xml:space="preserve">realizacija projekata provedenih sukladno </w:t>
      </w:r>
      <w:r w:rsidRPr="00FE5FC0">
        <w:rPr>
          <w:i/>
          <w:iCs/>
        </w:rPr>
        <w:t xml:space="preserve">Javnom pozivu za neposredno financiranje projekata smanjivanja potrošnje tvari koje oštećuju ozonski sloj i </w:t>
      </w:r>
      <w:proofErr w:type="spellStart"/>
      <w:r w:rsidRPr="00FE5FC0">
        <w:rPr>
          <w:i/>
          <w:iCs/>
        </w:rPr>
        <w:t>fluoriranih</w:t>
      </w:r>
      <w:proofErr w:type="spellEnd"/>
      <w:r w:rsidRPr="00FE5FC0">
        <w:rPr>
          <w:i/>
          <w:iCs/>
        </w:rPr>
        <w:t xml:space="preserve"> stakleničkih plinova u Republici Hrvatskoj (ZO </w:t>
      </w:r>
      <w:r>
        <w:rPr>
          <w:i/>
          <w:iCs/>
        </w:rPr>
        <w:t>0</w:t>
      </w:r>
      <w:r w:rsidRPr="00FE5FC0">
        <w:rPr>
          <w:i/>
          <w:iCs/>
        </w:rPr>
        <w:t>4/2022)</w:t>
      </w:r>
    </w:p>
    <w:p w14:paraId="0A7C0852" w14:textId="533631E7" w:rsidR="00FE5FC0" w:rsidRDefault="00F8316D" w:rsidP="00B907D7">
      <w:pPr>
        <w:spacing w:before="60" w:after="60"/>
        <w:ind w:firstLine="709"/>
      </w:pPr>
      <w:r>
        <w:t xml:space="preserve">Projekti </w:t>
      </w:r>
      <w:r w:rsidR="00FE5FC0" w:rsidRPr="00FE5FC0">
        <w:t>su se odnosili na zamjenu radne tvari u rashladnim sustavima u vlasništvu javnih ustanova i tijela državne uprave</w:t>
      </w:r>
      <w:r w:rsidR="00323EB0">
        <w:t xml:space="preserve"> odnosno korisnicima je financirana izrada </w:t>
      </w:r>
      <w:r w:rsidR="00C7656B">
        <w:t xml:space="preserve">projektne dokumentacije, </w:t>
      </w:r>
      <w:r w:rsidR="00C7656B" w:rsidRPr="00C7656B">
        <w:t xml:space="preserve">izvođenje radova i </w:t>
      </w:r>
      <w:r w:rsidR="00C7656B">
        <w:t xml:space="preserve">pružanje </w:t>
      </w:r>
      <w:r w:rsidR="00C7656B" w:rsidRPr="00C7656B">
        <w:t>usluge stručnog nadzora nad izvođenjem radova</w:t>
      </w:r>
      <w:r w:rsidR="00FE5FC0" w:rsidRPr="00FE5FC0">
        <w:t>.</w:t>
      </w:r>
      <w:r w:rsidR="00C7656B">
        <w:t xml:space="preserve"> Od 27 projekata 6 projekata nije realizirano budući je korisnik odustao od realizacije u zadanim rokovima te je u veljači 2025. izvršio povrat sredstava prema Fondu za izradu dokumentacije.</w:t>
      </w:r>
    </w:p>
    <w:p w14:paraId="57682B7B" w14:textId="7E87125C" w:rsidR="00F8316D" w:rsidRPr="00FE5FC0" w:rsidRDefault="00534A65" w:rsidP="00F8316D">
      <w:pPr>
        <w:pStyle w:val="Odlomakpopisa"/>
        <w:numPr>
          <w:ilvl w:val="2"/>
          <w:numId w:val="3"/>
        </w:numPr>
        <w:spacing w:before="60" w:after="60"/>
        <w:ind w:left="2268"/>
      </w:pPr>
      <w:r>
        <w:rPr>
          <w:u w:val="single"/>
        </w:rPr>
        <w:t>Ukupno je za</w:t>
      </w:r>
      <w:r w:rsidR="00F8316D" w:rsidRPr="00F8316D">
        <w:rPr>
          <w:u w:val="single"/>
        </w:rPr>
        <w:t xml:space="preserve"> 27 projekata </w:t>
      </w:r>
      <w:r>
        <w:rPr>
          <w:u w:val="single"/>
        </w:rPr>
        <w:t>isplaćeno</w:t>
      </w:r>
      <w:r w:rsidR="00F8316D" w:rsidRPr="00F8316D">
        <w:rPr>
          <w:u w:val="single"/>
        </w:rPr>
        <w:t xml:space="preserve"> </w:t>
      </w:r>
      <w:r w:rsidR="00F8316D" w:rsidRPr="00534A65">
        <w:rPr>
          <w:b/>
          <w:bCs/>
          <w:u w:val="single"/>
        </w:rPr>
        <w:t>2.094.044,92 EUR</w:t>
      </w:r>
    </w:p>
    <w:p w14:paraId="4A5A3598" w14:textId="77777777" w:rsidR="00FE5FC0" w:rsidRDefault="00FE5FC0" w:rsidP="00952BB6">
      <w:pPr>
        <w:spacing w:before="60" w:after="60"/>
        <w:ind w:left="709" w:hanging="709"/>
      </w:pPr>
    </w:p>
    <w:p w14:paraId="34302350" w14:textId="4578F9E0" w:rsidR="00952BB6" w:rsidRPr="002E0C9F" w:rsidRDefault="00952BB6" w:rsidP="00B907D7">
      <w:pPr>
        <w:spacing w:before="60" w:after="60"/>
        <w:ind w:firstLine="709"/>
      </w:pPr>
      <w:r w:rsidRPr="002E0C9F">
        <w:t xml:space="preserve">Smanjenje emisija stakleničkih plinova u sektora gospodarenja otpadom, </w:t>
      </w:r>
      <w:r w:rsidRPr="002E0C9F">
        <w:rPr>
          <w:b/>
          <w:bCs/>
        </w:rPr>
        <w:t>OT mjera</w:t>
      </w:r>
      <w:r w:rsidRPr="002E0C9F">
        <w:t xml:space="preserve">, realizirano je </w:t>
      </w:r>
      <w:r w:rsidR="002E0C9F" w:rsidRPr="002E0C9F">
        <w:t xml:space="preserve">3.676.418,21 EUR </w:t>
      </w:r>
      <w:r w:rsidRPr="002E0C9F">
        <w:rPr>
          <w:b/>
          <w:bCs/>
        </w:rPr>
        <w:t xml:space="preserve">za </w:t>
      </w:r>
      <w:r w:rsidR="00287D7E">
        <w:rPr>
          <w:b/>
          <w:bCs/>
        </w:rPr>
        <w:t>93</w:t>
      </w:r>
      <w:r w:rsidRPr="002E0C9F">
        <w:rPr>
          <w:b/>
          <w:bCs/>
        </w:rPr>
        <w:t xml:space="preserve"> projekata</w:t>
      </w:r>
      <w:r w:rsidRPr="002E0C9F">
        <w:t xml:space="preserve"> koji se odnose na:</w:t>
      </w:r>
    </w:p>
    <w:p w14:paraId="35C77361" w14:textId="417E148E" w:rsidR="00952BB6" w:rsidRDefault="00952BB6" w:rsidP="00077A5D">
      <w:pPr>
        <w:numPr>
          <w:ilvl w:val="0"/>
          <w:numId w:val="16"/>
        </w:numPr>
        <w:spacing w:before="60" w:after="60"/>
        <w:rPr>
          <w:rFonts w:eastAsia="Times New Roman"/>
          <w:color w:val="000000"/>
          <w:lang w:eastAsia="hr-HR"/>
        </w:rPr>
      </w:pPr>
      <w:r w:rsidRPr="002E0C9F">
        <w:rPr>
          <w:rFonts w:eastAsia="Times New Roman"/>
          <w:color w:val="000000"/>
          <w:lang w:eastAsia="hr-HR"/>
        </w:rPr>
        <w:t xml:space="preserve">Fond je u 2022. godini objavio </w:t>
      </w:r>
      <w:r w:rsidRPr="00534A65">
        <w:rPr>
          <w:rFonts w:eastAsia="Times New Roman"/>
          <w:i/>
          <w:iCs/>
          <w:color w:val="000000"/>
          <w:lang w:eastAsia="hr-HR"/>
        </w:rPr>
        <w:t>Javni poziv za neposredno su/financiranje uklanjanja otpada odbačenog u okoliš</w:t>
      </w:r>
      <w:r w:rsidRPr="002E0C9F">
        <w:rPr>
          <w:rFonts w:eastAsia="Times New Roman"/>
          <w:color w:val="000000"/>
          <w:lang w:eastAsia="hr-HR"/>
        </w:rPr>
        <w:t xml:space="preserve"> (tzv. “divlja odlagališta”). Dio Javnog poziva bio je namijenjen jedinicama lokalne samouprave za uklanjanje otpada s područja naseljenih pripadnicima romske nacionalne manjine. Na Javni poziv se prijavilo 10 jedinica lokalne samouprave od kojih je za njih 8 Fond donio odluke i sklopio ugovore ukupne vrijednosti </w:t>
      </w:r>
      <w:r w:rsidR="002E0C9F" w:rsidRPr="002E0C9F">
        <w:rPr>
          <w:rFonts w:eastAsia="Times New Roman"/>
          <w:color w:val="000000"/>
          <w:lang w:eastAsia="hr-HR"/>
        </w:rPr>
        <w:t>1.897.047,92 EUR</w:t>
      </w:r>
      <w:r w:rsidRPr="002E0C9F">
        <w:rPr>
          <w:rFonts w:eastAsia="Times New Roman"/>
          <w:color w:val="000000"/>
          <w:lang w:eastAsia="hr-HR"/>
        </w:rPr>
        <w:t xml:space="preserve">. </w:t>
      </w:r>
      <w:r w:rsidR="00534A65">
        <w:rPr>
          <w:rFonts w:eastAsia="Times New Roman"/>
          <w:color w:val="000000"/>
          <w:lang w:eastAsia="hr-HR"/>
        </w:rPr>
        <w:t xml:space="preserve">Od svih ugovorenih projekata, ovih </w:t>
      </w:r>
      <w:r w:rsidR="002E0C9F" w:rsidRPr="002E0C9F">
        <w:rPr>
          <w:rFonts w:eastAsia="Times New Roman"/>
          <w:color w:val="000000"/>
          <w:lang w:eastAsia="hr-HR"/>
        </w:rPr>
        <w:t>7</w:t>
      </w:r>
      <w:r w:rsidRPr="002E0C9F">
        <w:rPr>
          <w:rFonts w:eastAsia="Times New Roman"/>
          <w:color w:val="000000"/>
          <w:lang w:eastAsia="hr-HR"/>
        </w:rPr>
        <w:t xml:space="preserve"> </w:t>
      </w:r>
      <w:r w:rsidR="00534A65">
        <w:rPr>
          <w:rFonts w:eastAsia="Times New Roman"/>
          <w:color w:val="000000"/>
          <w:lang w:eastAsia="hr-HR"/>
        </w:rPr>
        <w:t>je potpuno realizirano: g</w:t>
      </w:r>
      <w:r w:rsidR="002E0C9F" w:rsidRPr="002E0C9F">
        <w:rPr>
          <w:rFonts w:eastAsia="Times New Roman"/>
          <w:color w:val="000000"/>
          <w:lang w:eastAsia="hr-HR"/>
        </w:rPr>
        <w:t xml:space="preserve">rad Kutina, </w:t>
      </w:r>
      <w:r w:rsidR="00534A65">
        <w:rPr>
          <w:rFonts w:eastAsia="Times New Roman"/>
          <w:color w:val="000000"/>
          <w:lang w:eastAsia="hr-HR"/>
        </w:rPr>
        <w:t>g</w:t>
      </w:r>
      <w:r w:rsidR="002E0C9F" w:rsidRPr="002E0C9F">
        <w:rPr>
          <w:rFonts w:eastAsia="Times New Roman"/>
          <w:color w:val="000000"/>
          <w:lang w:eastAsia="hr-HR"/>
        </w:rPr>
        <w:t xml:space="preserve">rad Popovača, </w:t>
      </w:r>
      <w:r w:rsidR="00534A65">
        <w:rPr>
          <w:rFonts w:eastAsia="Times New Roman"/>
          <w:color w:val="000000"/>
          <w:lang w:eastAsia="hr-HR"/>
        </w:rPr>
        <w:t>g</w:t>
      </w:r>
      <w:r w:rsidR="002E0C9F" w:rsidRPr="002E0C9F">
        <w:rPr>
          <w:rFonts w:eastAsia="Times New Roman"/>
          <w:color w:val="000000"/>
          <w:lang w:eastAsia="hr-HR"/>
        </w:rPr>
        <w:t xml:space="preserve">rad Sisak, </w:t>
      </w:r>
      <w:r w:rsidR="00534A65">
        <w:rPr>
          <w:rFonts w:eastAsia="Times New Roman"/>
          <w:color w:val="000000"/>
          <w:lang w:eastAsia="hr-HR"/>
        </w:rPr>
        <w:t>o</w:t>
      </w:r>
      <w:r w:rsidR="002E0C9F" w:rsidRPr="002E0C9F">
        <w:rPr>
          <w:rFonts w:eastAsia="Times New Roman"/>
          <w:color w:val="000000"/>
          <w:lang w:eastAsia="hr-HR"/>
        </w:rPr>
        <w:t xml:space="preserve">pćina Petrijanec, </w:t>
      </w:r>
      <w:r w:rsidR="00534A65">
        <w:rPr>
          <w:rFonts w:eastAsia="Times New Roman"/>
          <w:color w:val="000000"/>
          <w:lang w:eastAsia="hr-HR"/>
        </w:rPr>
        <w:t>o</w:t>
      </w:r>
      <w:r w:rsidR="002E0C9F" w:rsidRPr="002E0C9F">
        <w:rPr>
          <w:rFonts w:eastAsia="Times New Roman"/>
          <w:color w:val="000000"/>
          <w:lang w:eastAsia="hr-HR"/>
        </w:rPr>
        <w:t xml:space="preserve">pćina Cestica, </w:t>
      </w:r>
      <w:r w:rsidR="00534A65">
        <w:rPr>
          <w:rFonts w:eastAsia="Times New Roman"/>
          <w:color w:val="000000"/>
          <w:lang w:eastAsia="hr-HR"/>
        </w:rPr>
        <w:t>o</w:t>
      </w:r>
      <w:r w:rsidR="002E0C9F" w:rsidRPr="002E0C9F">
        <w:rPr>
          <w:rFonts w:eastAsia="Times New Roman"/>
          <w:color w:val="000000"/>
          <w:lang w:eastAsia="hr-HR"/>
        </w:rPr>
        <w:t xml:space="preserve">pćina Orehovica i </w:t>
      </w:r>
      <w:r w:rsidR="00534A65">
        <w:rPr>
          <w:rFonts w:eastAsia="Times New Roman"/>
          <w:color w:val="000000"/>
          <w:lang w:eastAsia="hr-HR"/>
        </w:rPr>
        <w:t>o</w:t>
      </w:r>
      <w:r w:rsidR="002E0C9F" w:rsidRPr="002E0C9F">
        <w:rPr>
          <w:rFonts w:eastAsia="Times New Roman"/>
          <w:color w:val="000000"/>
          <w:lang w:eastAsia="hr-HR"/>
        </w:rPr>
        <w:t>pćina Pribislavec</w:t>
      </w:r>
      <w:r w:rsidRPr="002E0C9F">
        <w:rPr>
          <w:rFonts w:eastAsia="Times New Roman"/>
          <w:color w:val="000000"/>
          <w:lang w:eastAsia="hr-HR"/>
        </w:rPr>
        <w:t xml:space="preserve">), </w:t>
      </w:r>
      <w:r w:rsidR="002E0C9F" w:rsidRPr="002E0C9F">
        <w:rPr>
          <w:rFonts w:eastAsia="Times New Roman"/>
          <w:color w:val="000000"/>
          <w:lang w:eastAsia="hr-HR"/>
        </w:rPr>
        <w:t>koji su u</w:t>
      </w:r>
      <w:r w:rsidRPr="002E0C9F">
        <w:rPr>
          <w:rFonts w:eastAsia="Times New Roman"/>
          <w:color w:val="000000"/>
          <w:lang w:eastAsia="hr-HR"/>
        </w:rPr>
        <w:t xml:space="preserve"> potpunosti realiziran</w:t>
      </w:r>
      <w:r w:rsidR="002E0C9F" w:rsidRPr="002E0C9F">
        <w:rPr>
          <w:rFonts w:eastAsia="Times New Roman"/>
          <w:color w:val="000000"/>
          <w:lang w:eastAsia="hr-HR"/>
        </w:rPr>
        <w:t>i</w:t>
      </w:r>
      <w:r w:rsidRPr="002E0C9F">
        <w:rPr>
          <w:rFonts w:eastAsia="Times New Roman"/>
          <w:color w:val="000000"/>
          <w:lang w:eastAsia="hr-HR"/>
        </w:rPr>
        <w:t>.</w:t>
      </w:r>
    </w:p>
    <w:p w14:paraId="1249700B" w14:textId="7D0A70D0" w:rsidR="00534A65" w:rsidRPr="00534A65" w:rsidRDefault="00534A65" w:rsidP="00077A5D">
      <w:pPr>
        <w:numPr>
          <w:ilvl w:val="2"/>
          <w:numId w:val="16"/>
        </w:numPr>
        <w:spacing w:before="60" w:after="60"/>
        <w:rPr>
          <w:rFonts w:eastAsia="Times New Roman"/>
          <w:color w:val="000000"/>
          <w:u w:val="single"/>
          <w:lang w:eastAsia="hr-HR"/>
        </w:rPr>
      </w:pPr>
      <w:r w:rsidRPr="00534A65">
        <w:rPr>
          <w:rFonts w:eastAsia="Times New Roman"/>
          <w:color w:val="000000"/>
          <w:u w:val="single"/>
          <w:lang w:eastAsia="hr-HR"/>
        </w:rPr>
        <w:t xml:space="preserve">Ukupno je u 2023. isplaćeno </w:t>
      </w:r>
      <w:r w:rsidRPr="00534A65">
        <w:rPr>
          <w:rFonts w:eastAsia="Times New Roman"/>
          <w:b/>
          <w:bCs/>
          <w:color w:val="000000"/>
          <w:u w:val="single"/>
          <w:lang w:eastAsia="hr-HR"/>
        </w:rPr>
        <w:t>1.535.002,09 EUR</w:t>
      </w:r>
    </w:p>
    <w:p w14:paraId="2A5B3E00" w14:textId="77777777" w:rsidR="00534A65" w:rsidRDefault="00952BB6" w:rsidP="00077A5D">
      <w:pPr>
        <w:numPr>
          <w:ilvl w:val="0"/>
          <w:numId w:val="16"/>
        </w:numPr>
        <w:spacing w:before="60" w:after="60"/>
        <w:rPr>
          <w:rFonts w:eastAsia="Times New Roman"/>
          <w:color w:val="000000"/>
          <w:lang w:eastAsia="hr-HR"/>
        </w:rPr>
      </w:pPr>
      <w:r w:rsidRPr="00B6188D">
        <w:rPr>
          <w:rFonts w:eastAsia="Times New Roman"/>
          <w:color w:val="000000"/>
          <w:lang w:eastAsia="hr-HR"/>
        </w:rPr>
        <w:t>za mjeru sufinanciranje visoko onečišćenih „crnih točaka“</w:t>
      </w:r>
      <w:r w:rsidR="00534A65">
        <w:rPr>
          <w:rFonts w:eastAsia="Times New Roman"/>
          <w:color w:val="000000"/>
          <w:lang w:eastAsia="hr-HR"/>
        </w:rPr>
        <w:t>,</w:t>
      </w:r>
      <w:r w:rsidRPr="00B6188D">
        <w:rPr>
          <w:rFonts w:eastAsia="Times New Roman"/>
          <w:color w:val="000000"/>
          <w:lang w:eastAsia="hr-HR"/>
        </w:rPr>
        <w:t xml:space="preserve"> koje predstavljaju izvor emisija stakleničkih plinova</w:t>
      </w:r>
      <w:r w:rsidR="00534A65">
        <w:rPr>
          <w:rFonts w:eastAsia="Times New Roman"/>
          <w:color w:val="000000"/>
          <w:lang w:eastAsia="hr-HR"/>
        </w:rPr>
        <w:t>,</w:t>
      </w:r>
      <w:r w:rsidRPr="00B6188D">
        <w:rPr>
          <w:rFonts w:eastAsia="Times New Roman"/>
          <w:color w:val="000000"/>
          <w:lang w:eastAsia="hr-HR"/>
        </w:rPr>
        <w:t xml:space="preserve"> realizirana je usluga izrade Studije izvedivosti postojećih i potrebnih kapaciteta za obradu opasnog otpada</w:t>
      </w:r>
      <w:r w:rsidR="00534A65">
        <w:rPr>
          <w:rFonts w:eastAsia="Times New Roman"/>
          <w:color w:val="000000"/>
          <w:lang w:eastAsia="hr-HR"/>
        </w:rPr>
        <w:t>.</w:t>
      </w:r>
    </w:p>
    <w:p w14:paraId="3FA2165F" w14:textId="4E2DAA75" w:rsidR="00952BB6" w:rsidRPr="00B6188D" w:rsidRDefault="00534A65" w:rsidP="00077A5D">
      <w:pPr>
        <w:numPr>
          <w:ilvl w:val="2"/>
          <w:numId w:val="16"/>
        </w:numPr>
        <w:spacing w:before="60" w:after="60"/>
        <w:rPr>
          <w:rFonts w:eastAsia="Times New Roman"/>
          <w:color w:val="000000"/>
          <w:lang w:eastAsia="hr-HR"/>
        </w:rPr>
      </w:pPr>
      <w:r w:rsidRPr="00534A65">
        <w:rPr>
          <w:rFonts w:eastAsia="Times New Roman"/>
          <w:color w:val="000000"/>
          <w:u w:val="single"/>
          <w:lang w:eastAsia="hr-HR"/>
        </w:rPr>
        <w:t>Ukupno je isplaćeno</w:t>
      </w:r>
      <w:r w:rsidR="00B6188D" w:rsidRPr="00534A65">
        <w:rPr>
          <w:rFonts w:eastAsia="Times New Roman"/>
          <w:color w:val="000000"/>
          <w:u w:val="single"/>
          <w:lang w:eastAsia="hr-HR"/>
        </w:rPr>
        <w:t xml:space="preserve"> </w:t>
      </w:r>
      <w:r w:rsidR="00B6188D" w:rsidRPr="00534A65">
        <w:rPr>
          <w:rFonts w:eastAsia="Times New Roman"/>
          <w:b/>
          <w:bCs/>
          <w:color w:val="000000"/>
          <w:u w:val="single"/>
          <w:lang w:eastAsia="hr-HR"/>
        </w:rPr>
        <w:t>189.876,57 EUR</w:t>
      </w:r>
    </w:p>
    <w:p w14:paraId="484114F3" w14:textId="63003733" w:rsidR="00952BB6" w:rsidRPr="00B6188D" w:rsidRDefault="00952BB6" w:rsidP="00077A5D">
      <w:pPr>
        <w:numPr>
          <w:ilvl w:val="0"/>
          <w:numId w:val="16"/>
        </w:numPr>
        <w:spacing w:before="60" w:after="60"/>
        <w:rPr>
          <w:rFonts w:eastAsia="Times New Roman"/>
          <w:color w:val="000000"/>
          <w:lang w:eastAsia="hr-HR"/>
        </w:rPr>
      </w:pPr>
      <w:r w:rsidRPr="00B6188D">
        <w:rPr>
          <w:rFonts w:eastAsia="Times New Roman"/>
          <w:color w:val="000000"/>
          <w:lang w:eastAsia="hr-HR"/>
        </w:rPr>
        <w:t xml:space="preserve">u dijelu koji se odnosi na pripremu i provedbu projekata izgradnje centara za gospodarenje otpadom realizirana su </w:t>
      </w:r>
      <w:r w:rsidR="00B6188D" w:rsidRPr="00B6188D">
        <w:rPr>
          <w:rFonts w:eastAsia="Times New Roman"/>
          <w:color w:val="000000"/>
          <w:lang w:eastAsia="hr-HR"/>
        </w:rPr>
        <w:t>4</w:t>
      </w:r>
      <w:r w:rsidRPr="00B6188D">
        <w:rPr>
          <w:rFonts w:eastAsia="Times New Roman"/>
          <w:color w:val="000000"/>
          <w:lang w:eastAsia="hr-HR"/>
        </w:rPr>
        <w:t xml:space="preserve"> </w:t>
      </w:r>
      <w:r w:rsidRPr="00534A65">
        <w:rPr>
          <w:rFonts w:eastAsia="Times New Roman"/>
          <w:b/>
          <w:bCs/>
          <w:color w:val="000000"/>
          <w:lang w:eastAsia="hr-HR"/>
        </w:rPr>
        <w:t>projekta u iznosu od</w:t>
      </w:r>
      <w:r w:rsidR="00B6188D" w:rsidRPr="00534A65">
        <w:rPr>
          <w:rFonts w:eastAsia="Times New Roman"/>
          <w:b/>
          <w:bCs/>
          <w:color w:val="000000"/>
          <w:lang w:eastAsia="hr-HR"/>
        </w:rPr>
        <w:t xml:space="preserve"> 1.409.625,03 EUR</w:t>
      </w:r>
      <w:r w:rsidRPr="00B6188D">
        <w:rPr>
          <w:rFonts w:eastAsia="Times New Roman"/>
          <w:color w:val="000000"/>
          <w:lang w:eastAsia="hr-HR"/>
        </w:rPr>
        <w:t xml:space="preserve"> za slijedeće aktivnosti:</w:t>
      </w:r>
    </w:p>
    <w:p w14:paraId="03CD9156" w14:textId="644E7CEF" w:rsidR="00952BB6" w:rsidRDefault="00952BB6" w:rsidP="00077A5D">
      <w:pPr>
        <w:numPr>
          <w:ilvl w:val="0"/>
          <w:numId w:val="17"/>
        </w:numPr>
        <w:spacing w:before="60" w:after="60"/>
        <w:contextualSpacing/>
      </w:pPr>
      <w:bookmarkStart w:id="41" w:name="_Hlk132633198"/>
      <w:r w:rsidRPr="007054B8">
        <w:t xml:space="preserve">tvrtki </w:t>
      </w:r>
      <w:bookmarkEnd w:id="41"/>
      <w:r w:rsidRPr="007054B8">
        <w:t xml:space="preserve">EKOPLUS d.o.o. za sufinanciranje izgradnje plohe 1C sa pripadajućom infrastrukturom u sklopu ŽCGO </w:t>
      </w:r>
      <w:proofErr w:type="spellStart"/>
      <w:r w:rsidRPr="007054B8">
        <w:t>Marišćina</w:t>
      </w:r>
      <w:proofErr w:type="spellEnd"/>
      <w:r w:rsidRPr="007054B8">
        <w:t xml:space="preserve"> kako bi se otpad s područja Primorsko-goranske županije mogao nesmetano nastaviti zbrinjavati na području Centra (prethodno sufinanciranog u sklopu OPZO 2007-2013). </w:t>
      </w:r>
    </w:p>
    <w:p w14:paraId="6E40D226" w14:textId="569C7B1C" w:rsidR="00534A65" w:rsidRPr="00534A65" w:rsidRDefault="00534A65" w:rsidP="00077A5D">
      <w:pPr>
        <w:numPr>
          <w:ilvl w:val="2"/>
          <w:numId w:val="17"/>
        </w:numPr>
        <w:spacing w:before="60" w:after="60"/>
        <w:ind w:left="2160"/>
        <w:contextualSpacing/>
        <w:rPr>
          <w:u w:val="single"/>
        </w:rPr>
      </w:pPr>
      <w:r w:rsidRPr="00534A65">
        <w:rPr>
          <w:u w:val="single"/>
        </w:rPr>
        <w:t xml:space="preserve">isplaćena su sredstva u iznosu od </w:t>
      </w:r>
      <w:r w:rsidRPr="00534A65">
        <w:rPr>
          <w:b/>
          <w:bCs/>
          <w:u w:val="single"/>
        </w:rPr>
        <w:t>508.738,42 EUR</w:t>
      </w:r>
    </w:p>
    <w:p w14:paraId="004D48AB" w14:textId="0EC2D482" w:rsidR="00952BB6" w:rsidRDefault="00952BB6" w:rsidP="00077A5D">
      <w:pPr>
        <w:numPr>
          <w:ilvl w:val="0"/>
          <w:numId w:val="17"/>
        </w:numPr>
        <w:spacing w:before="60" w:after="60"/>
        <w:contextualSpacing/>
      </w:pPr>
      <w:r w:rsidRPr="007054B8">
        <w:t xml:space="preserve">tvrtki BIKARAC d.o.o. za sufinanciranje troškova projekta ŽCGO </w:t>
      </w:r>
      <w:proofErr w:type="spellStart"/>
      <w:r w:rsidRPr="007054B8">
        <w:t>Bikarac</w:t>
      </w:r>
      <w:proofErr w:type="spellEnd"/>
      <w:r w:rsidRPr="007054B8">
        <w:t xml:space="preserve"> II</w:t>
      </w:r>
      <w:r w:rsidR="00F13E8C">
        <w:t>.</w:t>
      </w:r>
      <w:r w:rsidRPr="007054B8">
        <w:t xml:space="preserve"> faza. Fond je navedenim sredstvima omogućio uspješan završetak financiranja projekta koji je sufinanciran u sklopu OPKK 2014</w:t>
      </w:r>
      <w:r w:rsidR="00F13E8C">
        <w:t xml:space="preserve">. </w:t>
      </w:r>
      <w:r w:rsidRPr="007054B8">
        <w:t>-</w:t>
      </w:r>
      <w:r w:rsidR="00F13E8C">
        <w:t xml:space="preserve"> </w:t>
      </w:r>
      <w:r w:rsidRPr="007054B8">
        <w:t>2020.</w:t>
      </w:r>
    </w:p>
    <w:p w14:paraId="58B297D5" w14:textId="2CD34221" w:rsidR="00534A65" w:rsidRPr="00534A65" w:rsidRDefault="00534A65" w:rsidP="00077A5D">
      <w:pPr>
        <w:numPr>
          <w:ilvl w:val="2"/>
          <w:numId w:val="17"/>
        </w:numPr>
        <w:spacing w:before="60" w:after="60"/>
        <w:ind w:left="2160"/>
        <w:contextualSpacing/>
        <w:rPr>
          <w:u w:val="single"/>
        </w:rPr>
      </w:pPr>
      <w:r w:rsidRPr="00534A65">
        <w:rPr>
          <w:u w:val="single"/>
        </w:rPr>
        <w:lastRenderedPageBreak/>
        <w:t xml:space="preserve">isplaćena su sredstva u iznosu </w:t>
      </w:r>
      <w:r w:rsidRPr="00534A65">
        <w:rPr>
          <w:b/>
          <w:bCs/>
          <w:u w:val="single"/>
        </w:rPr>
        <w:t>368.535,44 EUR</w:t>
      </w:r>
    </w:p>
    <w:p w14:paraId="21FA1942" w14:textId="2D2D24D8" w:rsidR="001E1B7F" w:rsidRDefault="007054B8" w:rsidP="00077A5D">
      <w:pPr>
        <w:numPr>
          <w:ilvl w:val="0"/>
          <w:numId w:val="17"/>
        </w:numPr>
        <w:spacing w:before="60" w:after="60"/>
        <w:contextualSpacing/>
      </w:pPr>
      <w:r w:rsidRPr="007054B8">
        <w:t xml:space="preserve">tvrtki BIKARAC </w:t>
      </w:r>
      <w:proofErr w:type="spellStart"/>
      <w:r w:rsidRPr="007054B8">
        <w:t>d.o.o</w:t>
      </w:r>
      <w:proofErr w:type="spellEnd"/>
      <w:r w:rsidRPr="007054B8">
        <w:t xml:space="preserve"> također </w:t>
      </w:r>
      <w:r w:rsidR="00534A65">
        <w:t>je</w:t>
      </w:r>
      <w:r w:rsidRPr="007054B8">
        <w:t xml:space="preserve"> sufinancirana sanacija i poboljšanje rada uređaja za pročišćavanja </w:t>
      </w:r>
      <w:proofErr w:type="spellStart"/>
      <w:r w:rsidRPr="007054B8">
        <w:t>procjednih</w:t>
      </w:r>
      <w:proofErr w:type="spellEnd"/>
      <w:r w:rsidRPr="007054B8">
        <w:t xml:space="preserve"> voda </w:t>
      </w:r>
      <w:r w:rsidR="00534A65">
        <w:t xml:space="preserve">u </w:t>
      </w:r>
      <w:r w:rsidRPr="007054B8">
        <w:t>CGO "</w:t>
      </w:r>
      <w:proofErr w:type="spellStart"/>
      <w:r w:rsidRPr="007054B8">
        <w:t>Bikarac</w:t>
      </w:r>
      <w:proofErr w:type="spellEnd"/>
      <w:r w:rsidRPr="007054B8">
        <w:t>.</w:t>
      </w:r>
    </w:p>
    <w:p w14:paraId="66F1F869" w14:textId="46F36579" w:rsidR="00534A65" w:rsidRPr="00534A65" w:rsidRDefault="00534A65" w:rsidP="00077A5D">
      <w:pPr>
        <w:numPr>
          <w:ilvl w:val="2"/>
          <w:numId w:val="17"/>
        </w:numPr>
        <w:spacing w:before="60" w:after="60"/>
        <w:ind w:left="2160"/>
        <w:contextualSpacing/>
        <w:rPr>
          <w:u w:val="single"/>
        </w:rPr>
      </w:pPr>
      <w:r w:rsidRPr="00534A65">
        <w:rPr>
          <w:u w:val="single"/>
        </w:rPr>
        <w:t xml:space="preserve">isplaćena su sredstva u iznosu </w:t>
      </w:r>
      <w:r>
        <w:rPr>
          <w:u w:val="single"/>
        </w:rPr>
        <w:t xml:space="preserve">od </w:t>
      </w:r>
      <w:r w:rsidRPr="00534A65">
        <w:rPr>
          <w:b/>
          <w:bCs/>
          <w:u w:val="single"/>
        </w:rPr>
        <w:t>530.891,22 EUR</w:t>
      </w:r>
      <w:r w:rsidRPr="00534A65">
        <w:rPr>
          <w:u w:val="single"/>
        </w:rPr>
        <w:t>.</w:t>
      </w:r>
    </w:p>
    <w:p w14:paraId="773841B7" w14:textId="7B46A004" w:rsidR="001E1B7F" w:rsidRPr="001E1B7F" w:rsidRDefault="00952BB6" w:rsidP="00077A5D">
      <w:pPr>
        <w:pStyle w:val="Odlomakpopisa"/>
        <w:numPr>
          <w:ilvl w:val="0"/>
          <w:numId w:val="20"/>
        </w:numPr>
        <w:spacing w:before="60" w:after="60"/>
      </w:pPr>
      <w:r w:rsidRPr="007054B8">
        <w:t>Gradu Cresu za neposredno financiranje izrade projektne dokumentacije za pilot projekt postrojenja za pripremu otpada za proizvodnju električne energije i vodika korištenjem solarne energije na lokaciji "</w:t>
      </w:r>
      <w:proofErr w:type="spellStart"/>
      <w:r w:rsidRPr="007054B8">
        <w:t>Pržić</w:t>
      </w:r>
      <w:proofErr w:type="spellEnd"/>
      <w:r w:rsidRPr="007054B8">
        <w:t xml:space="preserve">" </w:t>
      </w:r>
      <w:r w:rsidR="00534A65" w:rsidRPr="00534A65">
        <w:rPr>
          <w:u w:val="single"/>
        </w:rPr>
        <w:t xml:space="preserve">isplaćeno je </w:t>
      </w:r>
      <w:r w:rsidR="001E1B7F" w:rsidRPr="00534A65">
        <w:rPr>
          <w:b/>
          <w:bCs/>
          <w:u w:val="single"/>
        </w:rPr>
        <w:t>1.459,95 EUR</w:t>
      </w:r>
      <w:r w:rsidRPr="007054B8">
        <w:t xml:space="preserve">. </w:t>
      </w:r>
    </w:p>
    <w:p w14:paraId="29ECDD21" w14:textId="5A5C290E" w:rsidR="00952BB6" w:rsidRDefault="00952BB6" w:rsidP="00077A5D">
      <w:pPr>
        <w:numPr>
          <w:ilvl w:val="0"/>
          <w:numId w:val="18"/>
        </w:numPr>
        <w:spacing w:before="60" w:after="60"/>
        <w:contextualSpacing/>
      </w:pPr>
      <w:r w:rsidRPr="00287D7E">
        <w:t xml:space="preserve">Za mjeru sprečavanja nastanka otpada i ponovne uporabe </w:t>
      </w:r>
      <w:r w:rsidR="00ED5D7F">
        <w:t>FOND</w:t>
      </w:r>
      <w:r w:rsidRPr="00287D7E">
        <w:t xml:space="preserve"> je u 202</w:t>
      </w:r>
      <w:r w:rsidR="001E1B7F" w:rsidRPr="00287D7E">
        <w:t>3</w:t>
      </w:r>
      <w:r w:rsidRPr="00287D7E">
        <w:t>.</w:t>
      </w:r>
      <w:r w:rsidR="001E1B7F" w:rsidRPr="00287D7E">
        <w:t xml:space="preserve"> i 2024. </w:t>
      </w:r>
      <w:r w:rsidRPr="00287D7E">
        <w:t xml:space="preserve">sufinancirao provedbu dijela projekata </w:t>
      </w:r>
      <w:r w:rsidR="00534A65">
        <w:t xml:space="preserve">od njih 81 </w:t>
      </w:r>
      <w:r w:rsidRPr="00287D7E">
        <w:t xml:space="preserve">ugovorenih po </w:t>
      </w:r>
      <w:r w:rsidRPr="00287D7E">
        <w:rPr>
          <w:i/>
          <w:iCs/>
        </w:rPr>
        <w:t>Javnom natječaju za sufinanciranje projekata zaštite okoliša</w:t>
      </w:r>
      <w:r w:rsidRPr="00287D7E">
        <w:t xml:space="preserve"> (ZO-5/2021</w:t>
      </w:r>
      <w:r w:rsidR="001F3C12" w:rsidRPr="00287D7E">
        <w:t xml:space="preserve"> i JN ZO/ENU 2/2022</w:t>
      </w:r>
      <w:r w:rsidRPr="00287D7E">
        <w:t xml:space="preserve">) koje provode udruge i to u području sprječavanja nastanka otpada i ponovne uporabe, organizacije ekoloških akcija čišćenja podmorja, organizacija ekoloških akcija čišćenja speleoloških objekata, provođenje aktivnosti za podizanje svijesti o prilagodbi klimatskim promjenama, pružanja pomoći informiranja javnosti o ulozi u zaštiti okoliša i promicanju načela ekološkog upravljanja i važnosti eko-oznaka. </w:t>
      </w:r>
    </w:p>
    <w:p w14:paraId="6197E214" w14:textId="34C634E1" w:rsidR="00534A65" w:rsidRPr="00534A65" w:rsidRDefault="00534A65" w:rsidP="00077A5D">
      <w:pPr>
        <w:numPr>
          <w:ilvl w:val="2"/>
          <w:numId w:val="18"/>
        </w:numPr>
        <w:spacing w:before="60" w:after="60"/>
        <w:contextualSpacing/>
        <w:rPr>
          <w:u w:val="single"/>
        </w:rPr>
      </w:pPr>
      <w:r>
        <w:rPr>
          <w:u w:val="single"/>
        </w:rPr>
        <w:t>u</w:t>
      </w:r>
      <w:r w:rsidRPr="00534A65">
        <w:rPr>
          <w:u w:val="single"/>
        </w:rPr>
        <w:t xml:space="preserve">kupno je isplaćeno </w:t>
      </w:r>
      <w:r w:rsidRPr="00534A65">
        <w:rPr>
          <w:b/>
          <w:bCs/>
          <w:u w:val="single"/>
        </w:rPr>
        <w:t>541.914,52 EUR</w:t>
      </w:r>
    </w:p>
    <w:p w14:paraId="15A29B6D" w14:textId="77777777" w:rsidR="001F3C12" w:rsidRPr="00DF23D5" w:rsidRDefault="001F3C12" w:rsidP="00DF23D5">
      <w:pPr>
        <w:rPr>
          <w:highlight w:val="yellow"/>
        </w:rPr>
      </w:pPr>
      <w:bookmarkStart w:id="42" w:name="_Toc156830343"/>
    </w:p>
    <w:p w14:paraId="40470D71" w14:textId="2F106D73" w:rsidR="00952BB6" w:rsidRPr="00F04F86" w:rsidRDefault="00077A5D" w:rsidP="00952BB6">
      <w:pPr>
        <w:keepNext/>
        <w:keepLines/>
        <w:numPr>
          <w:ilvl w:val="2"/>
          <w:numId w:val="0"/>
        </w:numPr>
        <w:spacing w:before="120" w:after="0"/>
        <w:ind w:left="720" w:hanging="720"/>
        <w:outlineLvl w:val="2"/>
        <w:rPr>
          <w:rFonts w:eastAsiaTheme="majorEastAsia" w:cstheme="majorBidi"/>
          <w:b/>
          <w:szCs w:val="26"/>
        </w:rPr>
      </w:pPr>
      <w:bookmarkStart w:id="43" w:name="_Toc226980238"/>
      <w:r>
        <w:rPr>
          <w:rFonts w:eastAsiaTheme="majorEastAsia" w:cstheme="majorBidi"/>
          <w:b/>
          <w:szCs w:val="26"/>
        </w:rPr>
        <w:t>4</w:t>
      </w:r>
      <w:r w:rsidR="00DF23D5">
        <w:rPr>
          <w:rFonts w:eastAsiaTheme="majorEastAsia" w:cstheme="majorBidi"/>
          <w:b/>
          <w:szCs w:val="26"/>
        </w:rPr>
        <w:t xml:space="preserve">.2.3. </w:t>
      </w:r>
      <w:r w:rsidR="00952BB6" w:rsidRPr="00F04F86">
        <w:rPr>
          <w:rFonts w:eastAsiaTheme="majorEastAsia" w:cstheme="majorBidi"/>
          <w:b/>
          <w:szCs w:val="26"/>
        </w:rPr>
        <w:t>Prilagodba klimatskim promjenama</w:t>
      </w:r>
      <w:bookmarkEnd w:id="42"/>
      <w:bookmarkEnd w:id="43"/>
    </w:p>
    <w:p w14:paraId="00DB7143" w14:textId="77777777" w:rsidR="00952BB6" w:rsidRPr="00F04F86" w:rsidRDefault="00952BB6" w:rsidP="00952BB6">
      <w:pPr>
        <w:spacing w:before="60" w:after="60"/>
        <w:rPr>
          <w:lang w:eastAsia="de-DE"/>
        </w:rPr>
      </w:pPr>
    </w:p>
    <w:p w14:paraId="7D94B635" w14:textId="77777777" w:rsidR="00952BB6" w:rsidRPr="00F04F86" w:rsidRDefault="00952BB6" w:rsidP="00F13E8C">
      <w:pPr>
        <w:spacing w:before="60" w:after="60"/>
        <w:ind w:firstLine="709"/>
        <w:rPr>
          <w:lang w:eastAsia="de-DE"/>
        </w:rPr>
      </w:pPr>
      <w:r w:rsidRPr="00F04F86">
        <w:rPr>
          <w:lang w:eastAsia="de-DE"/>
        </w:rPr>
        <w:t xml:space="preserve">Klimatska politika se provodi i kroz mjere prilagodbe klimatskim promjenama, koje imaju za cilj izgraditi i ojačati spremnost društva da se nosi s očekivanim klimatskim promjenama i da se ublaže štetne posljedice koje klimatske promjene izazivaju po okoliš, gospodarstvo i društvo u cjelini. Procjenjuje se da su ulaganja u prevenciju višestruko manja od iznosa koji se ulažu u sanaciju šteta koje uzrokuju ekstremni vremenski događaji i klimatske promjene. Stoga je temeljem Zakona, Ministarstvo izradilo </w:t>
      </w:r>
      <w:r w:rsidRPr="00F04F86">
        <w:rPr>
          <w:i/>
          <w:iCs/>
          <w:lang w:eastAsia="de-DE"/>
        </w:rPr>
        <w:t>Strategiju prilagodbe klimatskim promjenama</w:t>
      </w:r>
      <w:r w:rsidRPr="00F04F86">
        <w:rPr>
          <w:lang w:eastAsia="de-DE"/>
        </w:rPr>
        <w:t xml:space="preserve"> u svrhu osiguranja koordiniranog djelovanja na prilagodbi klimatskim promjenama. Strategija prilagodbe klimatskim promjenama sadrži mjere i aktivnosti od kojih će one prioritetne biti razrađene u prvom Akcijskom planu za provedbu Strategije prilagodbe klimatskim promjenama.</w:t>
      </w:r>
    </w:p>
    <w:p w14:paraId="4D1F092A" w14:textId="77777777" w:rsidR="00952BB6" w:rsidRPr="00952BB6" w:rsidRDefault="00952BB6" w:rsidP="00F13E8C">
      <w:pPr>
        <w:spacing w:before="60" w:after="60"/>
        <w:ind w:firstLine="709"/>
        <w:rPr>
          <w:highlight w:val="yellow"/>
          <w:lang w:eastAsia="de-DE"/>
        </w:rPr>
      </w:pPr>
    </w:p>
    <w:p w14:paraId="3AAF63A7" w14:textId="7124D6DE" w:rsidR="00952BB6" w:rsidRPr="00F04F86" w:rsidRDefault="00952BB6" w:rsidP="00F13E8C">
      <w:pPr>
        <w:spacing w:before="60" w:after="60"/>
        <w:ind w:firstLine="709"/>
        <w:rPr>
          <w:lang w:eastAsia="de-DE"/>
        </w:rPr>
      </w:pPr>
      <w:r w:rsidRPr="00F04F86">
        <w:rPr>
          <w:lang w:eastAsia="de-DE"/>
        </w:rPr>
        <w:t xml:space="preserve">Za područje Prilagodbe klimatskim promjenama (PKP) predviđene su mjere </w:t>
      </w:r>
      <w:r w:rsidR="00F13E8C">
        <w:rPr>
          <w:lang w:eastAsia="de-DE"/>
        </w:rPr>
        <w:t xml:space="preserve">za uspostavu </w:t>
      </w:r>
      <w:r w:rsidRPr="00F04F86">
        <w:rPr>
          <w:lang w:eastAsia="de-DE"/>
        </w:rPr>
        <w:t>Cent</w:t>
      </w:r>
      <w:r w:rsidR="00F13E8C">
        <w:rPr>
          <w:lang w:eastAsia="de-DE"/>
        </w:rPr>
        <w:t>ra</w:t>
      </w:r>
      <w:r w:rsidRPr="00F04F86">
        <w:rPr>
          <w:lang w:eastAsia="de-DE"/>
        </w:rPr>
        <w:t xml:space="preserve"> za klimu (CK), mjere iz Strategije prilagodbe klimatskim promjenama (SPKP) i </w:t>
      </w:r>
      <w:bookmarkStart w:id="44" w:name="_Hlk101772024"/>
      <w:r w:rsidRPr="00F04F86">
        <w:rPr>
          <w:lang w:eastAsia="de-DE"/>
        </w:rPr>
        <w:t>Bioraznolikost i usluge ekosustava (BIO).</w:t>
      </w:r>
    </w:p>
    <w:bookmarkEnd w:id="44"/>
    <w:p w14:paraId="758EDDDF" w14:textId="77777777" w:rsidR="00952BB6" w:rsidRPr="00952BB6" w:rsidRDefault="00952BB6" w:rsidP="00F13E8C">
      <w:pPr>
        <w:spacing w:before="60" w:after="60"/>
        <w:ind w:firstLine="709"/>
        <w:rPr>
          <w:highlight w:val="yellow"/>
          <w:lang w:eastAsia="de-DE"/>
        </w:rPr>
      </w:pPr>
    </w:p>
    <w:p w14:paraId="04E2BCE9" w14:textId="31524DD1" w:rsidR="00952BB6" w:rsidRPr="00F04F86" w:rsidRDefault="00952BB6" w:rsidP="00F13E8C">
      <w:pPr>
        <w:spacing w:before="60" w:after="60"/>
        <w:ind w:firstLine="709"/>
      </w:pPr>
      <w:r w:rsidRPr="00F04F86">
        <w:rPr>
          <w:lang w:eastAsia="de-DE"/>
        </w:rPr>
        <w:t xml:space="preserve">Centar za klimu je predviđen u svrhu uspostave i razvoja nacionalnog, stručnog, istraživačkog i edukacijskog centra </w:t>
      </w:r>
      <w:r w:rsidR="002C2CB3">
        <w:rPr>
          <w:lang w:eastAsia="de-DE"/>
        </w:rPr>
        <w:t>za</w:t>
      </w:r>
      <w:r w:rsidRPr="00F04F86">
        <w:rPr>
          <w:lang w:eastAsia="de-DE"/>
        </w:rPr>
        <w:t xml:space="preserve"> prilagodb</w:t>
      </w:r>
      <w:r w:rsidR="002C2CB3">
        <w:rPr>
          <w:lang w:eastAsia="de-DE"/>
        </w:rPr>
        <w:t>u</w:t>
      </w:r>
      <w:r w:rsidRPr="00F04F86">
        <w:rPr>
          <w:lang w:eastAsia="de-DE"/>
        </w:rPr>
        <w:t xml:space="preserve"> klimatskim promjenama i očuvanju ekosustava kao važan čimbenik za uspostavu trajnog sustava praćenja i izvješćivanja stanja pokazatelja prilagodbe. Mjere iz Strategije prilagodbe klimatskim promjenama odnose</w:t>
      </w:r>
      <w:r w:rsidR="002C2CB3">
        <w:rPr>
          <w:lang w:eastAsia="de-DE"/>
        </w:rPr>
        <w:t xml:space="preserve"> se</w:t>
      </w:r>
      <w:r w:rsidRPr="00F04F86">
        <w:rPr>
          <w:lang w:eastAsia="de-DE"/>
        </w:rPr>
        <w:t xml:space="preserve"> na provedbu mjera u kriznim sektorima koji su izloženi utjecaju klimatskih promjena: upravljanje vodnim i morskim resursima, poljoprivreda, šumarstvo, ribarstvo, prirodni ekosustavi i bioraznolikost, energetika, turizam, zdravlje te </w:t>
      </w:r>
      <w:proofErr w:type="spellStart"/>
      <w:r w:rsidRPr="00F04F86">
        <w:rPr>
          <w:lang w:eastAsia="de-DE"/>
        </w:rPr>
        <w:t>međusektori</w:t>
      </w:r>
      <w:proofErr w:type="spellEnd"/>
      <w:r w:rsidRPr="00F04F86">
        <w:rPr>
          <w:lang w:eastAsia="de-DE"/>
        </w:rPr>
        <w:t xml:space="preserve"> kao što je prostorno planiranje i upravljanje obalnim područjem i upravljanje rizicima. Bioraznolikost i usluge ekosustava </w:t>
      </w:r>
      <w:r w:rsidRPr="00F04F86">
        <w:rPr>
          <w:lang w:eastAsia="de-DE"/>
        </w:rPr>
        <w:lastRenderedPageBreak/>
        <w:t xml:space="preserve">uključuju </w:t>
      </w:r>
      <w:r w:rsidRPr="00F04F86">
        <w:t>povećanje znanja i razumijevanja odnosa bioraznolikosti i klimatskih promjena sukladno novoj politici EU pod okriljem Europskog zelenog plana, poseb</w:t>
      </w:r>
      <w:r w:rsidR="002C2CB3">
        <w:t>no</w:t>
      </w:r>
      <w:r w:rsidRPr="00F04F86">
        <w:t xml:space="preserve"> EU strategije za bioraznolikost do 2030. godine.</w:t>
      </w:r>
      <w:r w:rsidRPr="00F04F86">
        <w:rPr>
          <w:lang w:eastAsia="de-DE"/>
        </w:rPr>
        <w:t xml:space="preserve"> Posebno se to odnosi na</w:t>
      </w:r>
      <w:r w:rsidRPr="00F04F86">
        <w:t xml:space="preserve"> uspostavu ranog upozoravanja za zaštićena područja i područja ekološke mreže te </w:t>
      </w:r>
      <w:r w:rsidR="002C2CB3">
        <w:t>praćenje</w:t>
      </w:r>
      <w:r w:rsidRPr="00F04F86">
        <w:t xml:space="preserve"> ekosustava, staništa i divljih vrsta, integrirano upravljanje resursima (slatkovodnim, morskim i kopnenima) i smanjenje antropogenog utjecaja na prirodne ekosustave, staništa i divlje vrste, kontrola invazivnih vrsta, primjenom rješenja temeljenih na prirodi te jačanje ljudskih i financijskih kapaciteta sustava zaštite prirode. </w:t>
      </w:r>
    </w:p>
    <w:p w14:paraId="0975E4BB" w14:textId="77777777" w:rsidR="00952BB6" w:rsidRPr="00952BB6" w:rsidRDefault="00952BB6" w:rsidP="00952BB6">
      <w:pPr>
        <w:spacing w:before="60" w:after="60"/>
        <w:rPr>
          <w:highlight w:val="yellow"/>
        </w:rPr>
      </w:pPr>
    </w:p>
    <w:p w14:paraId="5F339ACF" w14:textId="3EB7C7E7" w:rsidR="00F04F86" w:rsidRPr="00DE3C10" w:rsidRDefault="00ED5D7F" w:rsidP="00077A5D">
      <w:pPr>
        <w:numPr>
          <w:ilvl w:val="0"/>
          <w:numId w:val="19"/>
        </w:numPr>
        <w:spacing w:before="60" w:after="60"/>
        <w:contextualSpacing/>
      </w:pPr>
      <w:r>
        <w:t>FOND</w:t>
      </w:r>
      <w:r w:rsidR="00952BB6" w:rsidRPr="00DE3C10">
        <w:t xml:space="preserve"> je u 202</w:t>
      </w:r>
      <w:r w:rsidR="00F04F86" w:rsidRPr="00DE3C10">
        <w:t>3. i 2024</w:t>
      </w:r>
      <w:r w:rsidR="00952BB6" w:rsidRPr="00DE3C10">
        <w:t>. godini za mjeru Strategija prilagodbe klimatskim promjenama (</w:t>
      </w:r>
      <w:r w:rsidR="00952BB6" w:rsidRPr="00DE3C10">
        <w:rPr>
          <w:b/>
          <w:bCs/>
        </w:rPr>
        <w:t>SPKP</w:t>
      </w:r>
      <w:r w:rsidR="00952BB6" w:rsidRPr="00DE3C10">
        <w:t xml:space="preserve">) realizirao </w:t>
      </w:r>
      <w:r w:rsidR="00F04F86" w:rsidRPr="00DE3C10">
        <w:rPr>
          <w:b/>
          <w:bCs/>
        </w:rPr>
        <w:t>6.825.277,02 EUR</w:t>
      </w:r>
      <w:r w:rsidR="00952BB6" w:rsidRPr="00DE3C10">
        <w:rPr>
          <w:b/>
          <w:bCs/>
        </w:rPr>
        <w:t xml:space="preserve"> za </w:t>
      </w:r>
      <w:r w:rsidR="00F723C2">
        <w:rPr>
          <w:b/>
          <w:bCs/>
        </w:rPr>
        <w:t>128</w:t>
      </w:r>
      <w:r w:rsidR="00952BB6" w:rsidRPr="00DE3C10">
        <w:rPr>
          <w:b/>
          <w:bCs/>
        </w:rPr>
        <w:t xml:space="preserve"> projekata</w:t>
      </w:r>
      <w:r w:rsidR="00952BB6" w:rsidRPr="00DE3C10">
        <w:t xml:space="preserve"> koji su se odnosili na</w:t>
      </w:r>
      <w:r w:rsidR="00F04F86" w:rsidRPr="00DE3C10">
        <w:t>:</w:t>
      </w:r>
    </w:p>
    <w:p w14:paraId="0AD48240" w14:textId="0F84B409" w:rsidR="00952BB6" w:rsidRDefault="00F04F86" w:rsidP="00F04F86">
      <w:pPr>
        <w:spacing w:before="60" w:after="60"/>
        <w:ind w:left="720"/>
        <w:contextualSpacing/>
      </w:pPr>
      <w:r w:rsidRPr="00DE3C10">
        <w:t xml:space="preserve">- </w:t>
      </w:r>
      <w:bookmarkStart w:id="45" w:name="_Hlk76037764"/>
      <w:r w:rsidR="00952BB6" w:rsidRPr="00DE3C10">
        <w:t>izrad</w:t>
      </w:r>
      <w:r w:rsidR="00B81E5C" w:rsidRPr="00DE3C10">
        <w:t>e</w:t>
      </w:r>
      <w:r w:rsidR="00952BB6" w:rsidRPr="00DE3C10">
        <w:t xml:space="preserve"> radnih podloga za izradu </w:t>
      </w:r>
      <w:bookmarkEnd w:id="45"/>
      <w:r w:rsidR="00952BB6" w:rsidRPr="00DE3C10">
        <w:t>Programa ublažavanja klimatskih promjena, prilagodbe klimatskim promjenama i zaštite ozonskog sloja i radnih podloga za izradu Akcijskih planova održivog energetskog razvoja i prilagodbe klimatskim promjenama</w:t>
      </w:r>
      <w:r w:rsidR="00B81E5C" w:rsidRPr="00DE3C10">
        <w:t xml:space="preserve"> </w:t>
      </w:r>
    </w:p>
    <w:p w14:paraId="58564677" w14:textId="77777777" w:rsidR="00534A65" w:rsidRPr="00DE3C10" w:rsidRDefault="00534A65" w:rsidP="00077A5D">
      <w:pPr>
        <w:pStyle w:val="Odlomakpopisa"/>
        <w:numPr>
          <w:ilvl w:val="3"/>
          <w:numId w:val="32"/>
        </w:numPr>
        <w:spacing w:before="60" w:after="60"/>
        <w:ind w:left="2268"/>
      </w:pPr>
      <w:r w:rsidRPr="00534A65">
        <w:rPr>
          <w:u w:val="single"/>
        </w:rPr>
        <w:t xml:space="preserve">ukupno je isplaćeno </w:t>
      </w:r>
      <w:r w:rsidRPr="00534A65">
        <w:rPr>
          <w:b/>
          <w:bCs/>
          <w:u w:val="single"/>
        </w:rPr>
        <w:t>325.007,40</w:t>
      </w:r>
      <w:r w:rsidRPr="00534A65">
        <w:rPr>
          <w:u w:val="single"/>
        </w:rPr>
        <w:t xml:space="preserve"> EUR za </w:t>
      </w:r>
      <w:r w:rsidRPr="00534A65">
        <w:rPr>
          <w:b/>
          <w:bCs/>
          <w:u w:val="single"/>
        </w:rPr>
        <w:t>66 projekata</w:t>
      </w:r>
    </w:p>
    <w:p w14:paraId="2CA98F4F" w14:textId="77777777" w:rsidR="00534A65" w:rsidRPr="00DE3C10" w:rsidRDefault="00534A65" w:rsidP="00F04F86">
      <w:pPr>
        <w:spacing w:before="60" w:after="60"/>
        <w:ind w:left="720"/>
        <w:contextualSpacing/>
      </w:pPr>
    </w:p>
    <w:p w14:paraId="569CA8B6" w14:textId="6057B7BB" w:rsidR="00073E49" w:rsidRDefault="00B81E5C" w:rsidP="00073E49">
      <w:pPr>
        <w:spacing w:before="60" w:after="60"/>
        <w:ind w:left="720"/>
        <w:contextualSpacing/>
      </w:pPr>
      <w:r w:rsidRPr="00DE3C10">
        <w:t xml:space="preserve">- </w:t>
      </w:r>
      <w:r w:rsidR="007504E8" w:rsidRPr="00DE3C10">
        <w:t>projekte po j</w:t>
      </w:r>
      <w:r w:rsidR="00073E49" w:rsidRPr="00DE3C10">
        <w:t xml:space="preserve">avnim pozivima iz 2022. (ZO 10/2022), 2023. (ZO 9/2023) i 2024. (ZO 5/2024) </w:t>
      </w:r>
      <w:r w:rsidR="007504E8" w:rsidRPr="00DE3C10">
        <w:t>vezano uz</w:t>
      </w:r>
      <w:r w:rsidR="00073E49" w:rsidRPr="00DE3C10">
        <w:t xml:space="preserve"> radove sadnje stabala u urbanom području i sl. </w:t>
      </w:r>
    </w:p>
    <w:p w14:paraId="1960BDA3" w14:textId="5F005351" w:rsidR="004C5359" w:rsidRPr="004C5359" w:rsidRDefault="004C5359" w:rsidP="00077A5D">
      <w:pPr>
        <w:pStyle w:val="Odlomakpopisa"/>
        <w:numPr>
          <w:ilvl w:val="3"/>
          <w:numId w:val="32"/>
        </w:numPr>
        <w:spacing w:before="60" w:after="60"/>
        <w:ind w:left="2268"/>
        <w:rPr>
          <w:u w:val="single"/>
        </w:rPr>
      </w:pPr>
      <w:r>
        <w:rPr>
          <w:u w:val="single"/>
        </w:rPr>
        <w:t>ukupno je</w:t>
      </w:r>
      <w:r w:rsidRPr="004C5359">
        <w:rPr>
          <w:u w:val="single"/>
        </w:rPr>
        <w:t xml:space="preserve"> isplaćen</w:t>
      </w:r>
      <w:r>
        <w:rPr>
          <w:u w:val="single"/>
        </w:rPr>
        <w:t>o</w:t>
      </w:r>
      <w:r w:rsidRPr="004C5359">
        <w:rPr>
          <w:u w:val="single"/>
        </w:rPr>
        <w:t xml:space="preserve"> </w:t>
      </w:r>
      <w:r w:rsidRPr="004C5359">
        <w:rPr>
          <w:b/>
          <w:bCs/>
          <w:u w:val="single"/>
        </w:rPr>
        <w:t>6.198. 552,98 EUR</w:t>
      </w:r>
      <w:r w:rsidRPr="004C5359">
        <w:rPr>
          <w:u w:val="single"/>
        </w:rPr>
        <w:t xml:space="preserve"> za provedbu dijela 57 projekata</w:t>
      </w:r>
    </w:p>
    <w:p w14:paraId="775AF57D" w14:textId="0AB33E11" w:rsidR="00534A65" w:rsidRPr="00DE3C10" w:rsidRDefault="00534A65" w:rsidP="00073E49">
      <w:pPr>
        <w:spacing w:before="60" w:after="60"/>
        <w:ind w:left="720"/>
        <w:contextualSpacing/>
      </w:pPr>
    </w:p>
    <w:p w14:paraId="21DDC752" w14:textId="26550257" w:rsidR="007504E8" w:rsidRDefault="00073E49" w:rsidP="007504E8">
      <w:pPr>
        <w:spacing w:before="60" w:after="60"/>
        <w:ind w:left="720"/>
        <w:contextualSpacing/>
      </w:pPr>
      <w:r>
        <w:t>-</w:t>
      </w:r>
      <w:r w:rsidR="007504E8">
        <w:t xml:space="preserve"> projekte po </w:t>
      </w:r>
      <w:r w:rsidR="007504E8" w:rsidRPr="007504E8">
        <w:t>Javn</w:t>
      </w:r>
      <w:r w:rsidR="007504E8">
        <w:t>om</w:t>
      </w:r>
      <w:r w:rsidR="007504E8" w:rsidRPr="007504E8">
        <w:t xml:space="preserve"> poziv</w:t>
      </w:r>
      <w:r w:rsidR="007504E8">
        <w:t>u</w:t>
      </w:r>
      <w:r w:rsidR="007504E8" w:rsidRPr="007504E8">
        <w:t xml:space="preserve"> za neposredno sufinanciranje uzgoja sadnica u rasadničarskoj proizvodnji za šumske i vrste namijenjene za </w:t>
      </w:r>
      <w:proofErr w:type="spellStart"/>
      <w:r w:rsidR="007504E8" w:rsidRPr="007504E8">
        <w:t>ozelenj</w:t>
      </w:r>
      <w:r w:rsidR="00493E40">
        <w:t>a</w:t>
      </w:r>
      <w:r w:rsidR="007504E8" w:rsidRPr="007504E8">
        <w:t>vanje</w:t>
      </w:r>
      <w:proofErr w:type="spellEnd"/>
      <w:r w:rsidR="007504E8" w:rsidRPr="007504E8">
        <w:t xml:space="preserve"> urbanih područja (ZO 11/2023)</w:t>
      </w:r>
      <w:r w:rsidR="007504E8">
        <w:t>, a</w:t>
      </w:r>
      <w:r w:rsidR="007504E8" w:rsidRPr="007504E8">
        <w:t xml:space="preserve"> u svrhu poticanja proizvodnje sadnog materijala potrebnog za </w:t>
      </w:r>
      <w:proofErr w:type="spellStart"/>
      <w:r w:rsidR="007504E8" w:rsidRPr="007504E8">
        <w:t>ozelenj</w:t>
      </w:r>
      <w:r w:rsidR="00FF09AB">
        <w:t>a</w:t>
      </w:r>
      <w:r w:rsidR="007504E8" w:rsidRPr="007504E8">
        <w:t>vanje</w:t>
      </w:r>
      <w:proofErr w:type="spellEnd"/>
      <w:r w:rsidR="007504E8" w:rsidRPr="007504E8">
        <w:t xml:space="preserve"> urbanih i </w:t>
      </w:r>
      <w:proofErr w:type="spellStart"/>
      <w:r w:rsidR="007504E8" w:rsidRPr="007504E8">
        <w:t>periurbanih</w:t>
      </w:r>
      <w:proofErr w:type="spellEnd"/>
      <w:r w:rsidR="007504E8" w:rsidRPr="007504E8">
        <w:t xml:space="preserve"> područja na lokacijama u </w:t>
      </w:r>
      <w:r w:rsidR="007504E8" w:rsidRPr="00F723C2">
        <w:t>RH</w:t>
      </w:r>
      <w:r w:rsidR="004C5359">
        <w:t>.</w:t>
      </w:r>
      <w:r w:rsidR="007504E8" w:rsidRPr="00F723C2">
        <w:t xml:space="preserve"> </w:t>
      </w:r>
    </w:p>
    <w:p w14:paraId="5ACEED56" w14:textId="44832606" w:rsidR="004C5359" w:rsidRPr="004C5359" w:rsidRDefault="004C5359" w:rsidP="00077A5D">
      <w:pPr>
        <w:pStyle w:val="Odlomakpopisa"/>
        <w:numPr>
          <w:ilvl w:val="3"/>
          <w:numId w:val="33"/>
        </w:numPr>
        <w:spacing w:before="60" w:after="60"/>
        <w:ind w:left="2268"/>
        <w:rPr>
          <w:u w:val="single"/>
        </w:rPr>
      </w:pPr>
      <w:r w:rsidRPr="004C5359">
        <w:rPr>
          <w:u w:val="single"/>
        </w:rPr>
        <w:t xml:space="preserve">ukupno je isplaćeno </w:t>
      </w:r>
      <w:r w:rsidRPr="004C5359">
        <w:rPr>
          <w:b/>
          <w:bCs/>
          <w:u w:val="single"/>
        </w:rPr>
        <w:t>301.716,64 EUR</w:t>
      </w:r>
      <w:r w:rsidRPr="004C5359">
        <w:rPr>
          <w:u w:val="single"/>
        </w:rPr>
        <w:t xml:space="preserve"> za 5 projekata</w:t>
      </w:r>
    </w:p>
    <w:p w14:paraId="21DACDD5" w14:textId="4F73D6AE" w:rsidR="004C5359" w:rsidRDefault="004C5359" w:rsidP="007504E8">
      <w:pPr>
        <w:spacing w:before="60" w:after="60"/>
        <w:ind w:left="720"/>
        <w:contextualSpacing/>
      </w:pPr>
    </w:p>
    <w:p w14:paraId="7FF46DEF" w14:textId="77777777" w:rsidR="007504E8" w:rsidRDefault="007504E8" w:rsidP="007504E8">
      <w:pPr>
        <w:spacing w:before="60" w:after="60"/>
        <w:ind w:left="720"/>
        <w:contextualSpacing/>
      </w:pPr>
    </w:p>
    <w:p w14:paraId="15957A17" w14:textId="6C879B4D" w:rsidR="00952BB6" w:rsidRDefault="00ED5D7F" w:rsidP="007504E8">
      <w:pPr>
        <w:spacing w:before="60" w:after="60"/>
        <w:ind w:left="720"/>
        <w:contextualSpacing/>
        <w:rPr>
          <w:lang w:eastAsia="de-DE"/>
        </w:rPr>
      </w:pPr>
      <w:r>
        <w:rPr>
          <w:lang w:eastAsia="de-DE"/>
        </w:rPr>
        <w:t>FOND</w:t>
      </w:r>
      <w:r w:rsidR="00952BB6" w:rsidRPr="0042048F">
        <w:rPr>
          <w:lang w:eastAsia="de-DE"/>
        </w:rPr>
        <w:t xml:space="preserve"> je u 202</w:t>
      </w:r>
      <w:r w:rsidR="0042048F" w:rsidRPr="0042048F">
        <w:rPr>
          <w:lang w:eastAsia="de-DE"/>
        </w:rPr>
        <w:t>3</w:t>
      </w:r>
      <w:r w:rsidR="00952BB6" w:rsidRPr="0042048F">
        <w:rPr>
          <w:lang w:eastAsia="de-DE"/>
        </w:rPr>
        <w:t>. i 202</w:t>
      </w:r>
      <w:r w:rsidR="0042048F" w:rsidRPr="0042048F">
        <w:rPr>
          <w:lang w:eastAsia="de-DE"/>
        </w:rPr>
        <w:t>4</w:t>
      </w:r>
      <w:r w:rsidR="00952BB6" w:rsidRPr="0042048F">
        <w:rPr>
          <w:lang w:eastAsia="de-DE"/>
        </w:rPr>
        <w:t xml:space="preserve">. g. kroz mjeru </w:t>
      </w:r>
      <w:r w:rsidR="00952BB6" w:rsidRPr="001F0170">
        <w:rPr>
          <w:lang w:eastAsia="de-DE"/>
        </w:rPr>
        <w:t>BIO sufinancirao</w:t>
      </w:r>
      <w:r w:rsidR="001F0170" w:rsidRPr="001F0170">
        <w:rPr>
          <w:lang w:eastAsia="de-DE"/>
        </w:rPr>
        <w:t xml:space="preserve"> sljedeće aktivnosti</w:t>
      </w:r>
      <w:r w:rsidR="00952BB6" w:rsidRPr="0042048F">
        <w:rPr>
          <w:lang w:eastAsia="de-DE"/>
        </w:rPr>
        <w:t>, putem neposrednih zahtjeva Korisnika i sukladno objavljenim Javnim pozivima koji su se odnosili na:</w:t>
      </w:r>
    </w:p>
    <w:p w14:paraId="3955B9A9" w14:textId="77777777" w:rsidR="006979E3" w:rsidRPr="006979E3" w:rsidRDefault="006979E3" w:rsidP="004C5359">
      <w:pPr>
        <w:spacing w:before="60" w:after="60"/>
        <w:contextualSpacing/>
        <w:rPr>
          <w:lang w:eastAsia="de-DE"/>
        </w:rPr>
      </w:pPr>
    </w:p>
    <w:p w14:paraId="5CE4FA65" w14:textId="413535E3" w:rsidR="001F0170" w:rsidRDefault="006979E3" w:rsidP="00077A5D">
      <w:pPr>
        <w:pStyle w:val="Odlomakpopisa"/>
        <w:numPr>
          <w:ilvl w:val="0"/>
          <w:numId w:val="19"/>
        </w:numPr>
        <w:spacing w:before="60" w:after="60"/>
        <w:rPr>
          <w:lang w:eastAsia="de-DE"/>
        </w:rPr>
      </w:pPr>
      <w:r w:rsidRPr="006979E3">
        <w:rPr>
          <w:i/>
          <w:iCs/>
          <w:lang w:eastAsia="de-DE"/>
        </w:rPr>
        <w:t>Javn</w:t>
      </w:r>
      <w:r w:rsidR="001F0170">
        <w:rPr>
          <w:i/>
          <w:iCs/>
          <w:lang w:eastAsia="de-DE"/>
        </w:rPr>
        <w:t>i</w:t>
      </w:r>
      <w:r w:rsidRPr="006979E3">
        <w:rPr>
          <w:i/>
          <w:iCs/>
          <w:lang w:eastAsia="de-DE"/>
        </w:rPr>
        <w:t xml:space="preserve"> poziv za neposredno su/financiranje izrade projektne dokumentacije za obnovu postojeće </w:t>
      </w:r>
      <w:proofErr w:type="spellStart"/>
      <w:r w:rsidRPr="006979E3">
        <w:rPr>
          <w:i/>
          <w:iCs/>
          <w:lang w:eastAsia="de-DE"/>
        </w:rPr>
        <w:t>posjetiteljske</w:t>
      </w:r>
      <w:proofErr w:type="spellEnd"/>
      <w:r w:rsidRPr="006979E3">
        <w:rPr>
          <w:i/>
          <w:iCs/>
          <w:lang w:eastAsia="de-DE"/>
        </w:rPr>
        <w:t xml:space="preserve"> i planinarske infrastrukture u zaštićenim područjima i područjima ekološke mreže </w:t>
      </w:r>
      <w:r w:rsidRPr="006979E3">
        <w:rPr>
          <w:lang w:eastAsia="de-DE"/>
        </w:rPr>
        <w:t>(</w:t>
      </w:r>
      <w:r w:rsidRPr="006979E3">
        <w:rPr>
          <w:i/>
          <w:iCs/>
          <w:lang w:eastAsia="de-DE"/>
        </w:rPr>
        <w:t>ZO 10/2021</w:t>
      </w:r>
      <w:r w:rsidRPr="006979E3">
        <w:rPr>
          <w:lang w:eastAsia="de-DE"/>
        </w:rPr>
        <w:t xml:space="preserve">), </w:t>
      </w:r>
    </w:p>
    <w:p w14:paraId="4CFEE0A1" w14:textId="77777777" w:rsidR="001F0170" w:rsidRDefault="006979E3" w:rsidP="00077A5D">
      <w:pPr>
        <w:pStyle w:val="Odlomakpopisa"/>
        <w:numPr>
          <w:ilvl w:val="0"/>
          <w:numId w:val="19"/>
        </w:numPr>
        <w:spacing w:before="60" w:after="60"/>
        <w:rPr>
          <w:lang w:eastAsia="de-DE"/>
        </w:rPr>
      </w:pPr>
      <w:r w:rsidRPr="006979E3">
        <w:rPr>
          <w:i/>
          <w:iCs/>
          <w:lang w:eastAsia="de-DE"/>
        </w:rPr>
        <w:t>Javn</w:t>
      </w:r>
      <w:r w:rsidR="001F0170">
        <w:rPr>
          <w:i/>
          <w:iCs/>
          <w:lang w:eastAsia="de-DE"/>
        </w:rPr>
        <w:t>i</w:t>
      </w:r>
      <w:r w:rsidRPr="006979E3">
        <w:rPr>
          <w:i/>
          <w:iCs/>
          <w:lang w:eastAsia="de-DE"/>
        </w:rPr>
        <w:t xml:space="preserve"> poziv za neposredno </w:t>
      </w:r>
      <w:r w:rsidR="001F0170" w:rsidRPr="006979E3">
        <w:rPr>
          <w:i/>
          <w:iCs/>
          <w:lang w:eastAsia="de-DE"/>
        </w:rPr>
        <w:t>sufinanciranje</w:t>
      </w:r>
      <w:r w:rsidRPr="006979E3">
        <w:rPr>
          <w:i/>
          <w:iCs/>
          <w:lang w:eastAsia="de-DE"/>
        </w:rPr>
        <w:t xml:space="preserve"> projekata koji doprinose održivosti </w:t>
      </w:r>
      <w:proofErr w:type="spellStart"/>
      <w:r w:rsidRPr="006979E3">
        <w:rPr>
          <w:i/>
          <w:iCs/>
          <w:lang w:eastAsia="de-DE"/>
        </w:rPr>
        <w:t>posjetiteljske</w:t>
      </w:r>
      <w:proofErr w:type="spellEnd"/>
      <w:r w:rsidRPr="006979E3">
        <w:rPr>
          <w:i/>
          <w:iCs/>
          <w:lang w:eastAsia="de-DE"/>
        </w:rPr>
        <w:t xml:space="preserve"> infrastrukture (ZO 6/2024) </w:t>
      </w:r>
      <w:r w:rsidRPr="006979E3">
        <w:rPr>
          <w:lang w:eastAsia="de-DE"/>
        </w:rPr>
        <w:t xml:space="preserve">te </w:t>
      </w:r>
    </w:p>
    <w:p w14:paraId="28C0556C" w14:textId="44495997" w:rsidR="006979E3" w:rsidRPr="006979E3" w:rsidRDefault="006979E3" w:rsidP="00077A5D">
      <w:pPr>
        <w:pStyle w:val="Odlomakpopisa"/>
        <w:numPr>
          <w:ilvl w:val="0"/>
          <w:numId w:val="19"/>
        </w:numPr>
        <w:spacing w:before="60" w:after="60"/>
        <w:rPr>
          <w:lang w:eastAsia="de-DE"/>
        </w:rPr>
      </w:pPr>
      <w:r w:rsidRPr="006979E3">
        <w:rPr>
          <w:lang w:eastAsia="de-DE"/>
        </w:rPr>
        <w:t xml:space="preserve">dodatno s ciljem povećanja otpornosti na klimatske promjene u zaštićenim područjima i područjima ekološke mreže Natura 2000 putem neposrednih zahtjeva, Fond je u </w:t>
      </w:r>
      <w:r>
        <w:rPr>
          <w:lang w:eastAsia="de-DE"/>
        </w:rPr>
        <w:t xml:space="preserve">2023. i </w:t>
      </w:r>
      <w:r w:rsidRPr="006979E3">
        <w:rPr>
          <w:lang w:eastAsia="de-DE"/>
        </w:rPr>
        <w:t xml:space="preserve">2024. sufinancirao </w:t>
      </w:r>
      <w:r w:rsidRPr="001F0170">
        <w:rPr>
          <w:i/>
          <w:iCs/>
          <w:lang w:eastAsia="de-DE"/>
        </w:rPr>
        <w:t xml:space="preserve">izradu projektne i druge potrebne dokumentacije za </w:t>
      </w:r>
      <w:proofErr w:type="spellStart"/>
      <w:r w:rsidRPr="001F0170">
        <w:rPr>
          <w:i/>
          <w:iCs/>
          <w:lang w:eastAsia="de-DE"/>
        </w:rPr>
        <w:t>posjetiteljsku</w:t>
      </w:r>
      <w:proofErr w:type="spellEnd"/>
      <w:r w:rsidRPr="001F0170">
        <w:rPr>
          <w:i/>
          <w:iCs/>
          <w:lang w:eastAsia="de-DE"/>
        </w:rPr>
        <w:t xml:space="preserve"> i planinarsku infrastrukturu</w:t>
      </w:r>
      <w:r w:rsidRPr="006979E3">
        <w:rPr>
          <w:lang w:eastAsia="de-DE"/>
        </w:rPr>
        <w:t xml:space="preserve">, kojom će se Korisnici prijaviti na su/financiranje provedbe radova iz EU sredstava ili iz drugih izvora su/financiranja. </w:t>
      </w:r>
    </w:p>
    <w:p w14:paraId="667B02AA" w14:textId="4AF5F753" w:rsidR="0042048F" w:rsidRDefault="0042048F" w:rsidP="0042048F">
      <w:pPr>
        <w:spacing w:before="60" w:after="60"/>
        <w:ind w:left="720"/>
        <w:contextualSpacing/>
        <w:rPr>
          <w:lang w:eastAsia="de-DE"/>
        </w:rPr>
      </w:pPr>
    </w:p>
    <w:p w14:paraId="71952888" w14:textId="7B53E41A" w:rsidR="0042048F" w:rsidRDefault="0042048F" w:rsidP="00077A5D">
      <w:pPr>
        <w:pStyle w:val="Odlomakpopisa"/>
        <w:numPr>
          <w:ilvl w:val="0"/>
          <w:numId w:val="19"/>
        </w:numPr>
        <w:spacing w:before="60" w:after="60"/>
        <w:rPr>
          <w:lang w:eastAsia="de-DE"/>
        </w:rPr>
      </w:pPr>
      <w:r w:rsidRPr="0042048F">
        <w:rPr>
          <w:i/>
          <w:iCs/>
          <w:lang w:eastAsia="de-DE"/>
        </w:rPr>
        <w:lastRenderedPageBreak/>
        <w:t>Javni poziv za neposredno sufinanciranje projekata poticanja „</w:t>
      </w:r>
      <w:proofErr w:type="spellStart"/>
      <w:r w:rsidRPr="0042048F">
        <w:rPr>
          <w:i/>
          <w:iCs/>
          <w:lang w:eastAsia="de-DE"/>
        </w:rPr>
        <w:t>Plastic</w:t>
      </w:r>
      <w:proofErr w:type="spellEnd"/>
      <w:r w:rsidRPr="0042048F">
        <w:rPr>
          <w:i/>
          <w:iCs/>
          <w:lang w:eastAsia="de-DE"/>
        </w:rPr>
        <w:t xml:space="preserve"> free zone“</w:t>
      </w:r>
      <w:r>
        <w:rPr>
          <w:lang w:eastAsia="de-DE"/>
        </w:rPr>
        <w:t xml:space="preserve"> (JP ZO 2/2022) sufinancirano je opremanje javnih ustanova potrebnom opremom u svrhu ograničenja korištenja jednokratnih plastičnih proizvoda, uklanjanja otpadne plastike i drugih vrsta otpada, kako bi se smanjio ekološki otisak te doprinijelo očuvanju ekosustava zaštićenih područja te klimatskim ciljevima.</w:t>
      </w:r>
    </w:p>
    <w:p w14:paraId="13F44C4F" w14:textId="0E397DEE" w:rsidR="0042048F" w:rsidRDefault="006979E3" w:rsidP="00077A5D">
      <w:pPr>
        <w:pStyle w:val="Odlomakpopisa"/>
        <w:numPr>
          <w:ilvl w:val="0"/>
          <w:numId w:val="19"/>
        </w:numPr>
        <w:spacing w:before="60" w:after="60"/>
        <w:rPr>
          <w:lang w:eastAsia="de-DE"/>
        </w:rPr>
      </w:pPr>
      <w:r w:rsidRPr="006979E3">
        <w:rPr>
          <w:i/>
          <w:iCs/>
          <w:lang w:eastAsia="de-DE"/>
        </w:rPr>
        <w:t>Javni pozi</w:t>
      </w:r>
      <w:r w:rsidR="001F0170">
        <w:rPr>
          <w:i/>
          <w:iCs/>
          <w:lang w:eastAsia="de-DE"/>
        </w:rPr>
        <w:t>v</w:t>
      </w:r>
      <w:r w:rsidRPr="006979E3">
        <w:rPr>
          <w:i/>
          <w:iCs/>
          <w:lang w:eastAsia="de-DE"/>
        </w:rPr>
        <w:t xml:space="preserve"> za neposredno financiranje projekata „Kontrola populacija prioritetnih invazivnih stranih vrsta“ (ZO 5/2022), (ZO 6/2023) i (ZO 9/2024) </w:t>
      </w:r>
      <w:r w:rsidRPr="006979E3">
        <w:rPr>
          <w:lang w:eastAsia="de-DE"/>
        </w:rPr>
        <w:t xml:space="preserve">dodijeljena su sredstva </w:t>
      </w:r>
      <w:r w:rsidR="00ED5D7F">
        <w:rPr>
          <w:lang w:eastAsia="de-DE"/>
        </w:rPr>
        <w:t>FOND</w:t>
      </w:r>
      <w:r w:rsidRPr="006979E3">
        <w:rPr>
          <w:lang w:eastAsia="de-DE"/>
        </w:rPr>
        <w:t xml:space="preserve"> za provedbu projekata koji će doprinijeti kontroli populacija prioritetnih invazivnih stranih vrsta u Republici Hrvatskoj na određenim područjima koja su definirana uzevši u obzir razinu ugroženosti pojedinih strogo zaštićenih vrsta, područja ekološke mreže te neophodnu hitnost djelovanja kako bi se uspostavila kontrola populacija te spriječilo njihovo daljnje širenje. </w:t>
      </w:r>
    </w:p>
    <w:p w14:paraId="0CA4FEFF" w14:textId="0C246970" w:rsidR="001F0170" w:rsidRDefault="0042048F" w:rsidP="00077A5D">
      <w:pPr>
        <w:pStyle w:val="Odlomakpopisa"/>
        <w:numPr>
          <w:ilvl w:val="0"/>
          <w:numId w:val="19"/>
        </w:numPr>
        <w:spacing w:before="60" w:after="60"/>
        <w:rPr>
          <w:lang w:eastAsia="de-DE"/>
        </w:rPr>
      </w:pPr>
      <w:r>
        <w:rPr>
          <w:lang w:eastAsia="de-DE"/>
        </w:rPr>
        <w:t xml:space="preserve">U okviru ranijeg </w:t>
      </w:r>
      <w:r w:rsidRPr="001F0170">
        <w:rPr>
          <w:i/>
          <w:iCs/>
          <w:lang w:eastAsia="de-DE"/>
        </w:rPr>
        <w:t>Poziva Ministarstva zaštite okoliša i energetike na dostavu projektnih prijedloga „Unapređenje i povećanje kapaciteta oporavilišta za divlje životinje“</w:t>
      </w:r>
      <w:r>
        <w:rPr>
          <w:lang w:eastAsia="de-DE"/>
        </w:rPr>
        <w:t xml:space="preserve"> koji se provodi u okviru OPKK 2014. – 2020, </w:t>
      </w:r>
      <w:proofErr w:type="spellStart"/>
      <w:r>
        <w:rPr>
          <w:lang w:eastAsia="de-DE"/>
        </w:rPr>
        <w:t>Spec</w:t>
      </w:r>
      <w:proofErr w:type="spellEnd"/>
      <w:r>
        <w:rPr>
          <w:lang w:eastAsia="de-DE"/>
        </w:rPr>
        <w:t>. cilja 6iii2 „Uspostava okvira za održivo upravljanje bioraznolikošću (primarno ekološkom mrežom Natura 2000)“, u 2023</w:t>
      </w:r>
      <w:r w:rsidR="006979E3">
        <w:rPr>
          <w:lang w:eastAsia="de-DE"/>
        </w:rPr>
        <w:t xml:space="preserve">. i 2024. </w:t>
      </w:r>
      <w:r>
        <w:rPr>
          <w:lang w:eastAsia="de-DE"/>
        </w:rPr>
        <w:t>g</w:t>
      </w:r>
      <w:r w:rsidR="006979E3">
        <w:rPr>
          <w:lang w:eastAsia="de-DE"/>
        </w:rPr>
        <w:t>odini</w:t>
      </w:r>
      <w:r>
        <w:rPr>
          <w:lang w:eastAsia="de-DE"/>
        </w:rPr>
        <w:t xml:space="preserve"> Fond je sufinancirao </w:t>
      </w:r>
      <w:r w:rsidR="006979E3">
        <w:rPr>
          <w:lang w:eastAsia="de-DE"/>
        </w:rPr>
        <w:t>4</w:t>
      </w:r>
      <w:r>
        <w:rPr>
          <w:lang w:eastAsia="de-DE"/>
        </w:rPr>
        <w:t xml:space="preserve"> projekta</w:t>
      </w:r>
      <w:r w:rsidR="001F0170">
        <w:rPr>
          <w:lang w:eastAsia="de-DE"/>
        </w:rPr>
        <w:t xml:space="preserve"> u cilju unapređenje postojećih oporavilišta kroz povećanje kapaciteta za prihvat životinja, poboljšanje brige i skrbi za njih, kroz poboljšanje opreme za svakodnevni rad te usavršavanje stručnog kadra:</w:t>
      </w:r>
    </w:p>
    <w:p w14:paraId="3AF62F0B" w14:textId="77777777" w:rsidR="001F0170" w:rsidRDefault="0042048F" w:rsidP="00077A5D">
      <w:pPr>
        <w:pStyle w:val="Odlomakpopisa"/>
        <w:numPr>
          <w:ilvl w:val="1"/>
          <w:numId w:val="34"/>
        </w:numPr>
        <w:spacing w:before="60" w:after="60"/>
        <w:rPr>
          <w:lang w:eastAsia="de-DE"/>
        </w:rPr>
      </w:pPr>
      <w:r>
        <w:rPr>
          <w:lang w:eastAsia="de-DE"/>
        </w:rPr>
        <w:t xml:space="preserve"> korisnika </w:t>
      </w:r>
      <w:r w:rsidR="006979E3">
        <w:rPr>
          <w:lang w:eastAsia="de-DE"/>
        </w:rPr>
        <w:t xml:space="preserve">Institut Plavi svijet, </w:t>
      </w:r>
    </w:p>
    <w:p w14:paraId="23C6A665" w14:textId="3040AE5F" w:rsidR="001F0170" w:rsidRDefault="0042048F" w:rsidP="00077A5D">
      <w:pPr>
        <w:pStyle w:val="Odlomakpopisa"/>
        <w:numPr>
          <w:ilvl w:val="1"/>
          <w:numId w:val="34"/>
        </w:numPr>
        <w:spacing w:before="60" w:after="60"/>
        <w:rPr>
          <w:lang w:eastAsia="de-DE"/>
        </w:rPr>
      </w:pPr>
      <w:r>
        <w:rPr>
          <w:lang w:eastAsia="de-DE"/>
        </w:rPr>
        <w:t>AQUARIUM PULA d.o.o.,</w:t>
      </w:r>
    </w:p>
    <w:p w14:paraId="6C04266E" w14:textId="77777777" w:rsidR="001F0170" w:rsidRDefault="0042048F" w:rsidP="00077A5D">
      <w:pPr>
        <w:pStyle w:val="Odlomakpopisa"/>
        <w:numPr>
          <w:ilvl w:val="1"/>
          <w:numId w:val="34"/>
        </w:numPr>
        <w:spacing w:before="60" w:after="60"/>
        <w:rPr>
          <w:lang w:eastAsia="de-DE"/>
        </w:rPr>
      </w:pPr>
      <w:r>
        <w:rPr>
          <w:lang w:eastAsia="de-DE"/>
        </w:rPr>
        <w:t xml:space="preserve">Ustanove Zoološki vrt Grada Zagreba i </w:t>
      </w:r>
    </w:p>
    <w:p w14:paraId="74D3AED9" w14:textId="398041D9" w:rsidR="00231F91" w:rsidRPr="001F0170" w:rsidRDefault="0042048F" w:rsidP="00077A5D">
      <w:pPr>
        <w:pStyle w:val="Odlomakpopisa"/>
        <w:numPr>
          <w:ilvl w:val="1"/>
          <w:numId w:val="34"/>
        </w:numPr>
        <w:spacing w:before="60" w:after="60"/>
        <w:rPr>
          <w:lang w:eastAsia="de-DE"/>
        </w:rPr>
      </w:pPr>
      <w:r>
        <w:rPr>
          <w:lang w:eastAsia="de-DE"/>
        </w:rPr>
        <w:t>Sveučilišta u Zagrebu Veterinarskog fakulteta.</w:t>
      </w:r>
    </w:p>
    <w:p w14:paraId="04E5D40D" w14:textId="778DEDCB" w:rsidR="0042048F" w:rsidRPr="001F0170" w:rsidRDefault="00231F91" w:rsidP="00077A5D">
      <w:pPr>
        <w:pStyle w:val="Odlomakpopisa"/>
        <w:numPr>
          <w:ilvl w:val="0"/>
          <w:numId w:val="19"/>
        </w:numPr>
        <w:spacing w:before="60" w:after="60"/>
        <w:rPr>
          <w:lang w:eastAsia="de-DE"/>
        </w:rPr>
      </w:pPr>
      <w:r w:rsidRPr="00231F91">
        <w:rPr>
          <w:lang w:eastAsia="de-DE"/>
        </w:rPr>
        <w:t xml:space="preserve">U okviru projekta </w:t>
      </w:r>
      <w:r w:rsidRPr="00231F91">
        <w:rPr>
          <w:i/>
          <w:iCs/>
          <w:lang w:eastAsia="de-DE"/>
        </w:rPr>
        <w:t>Očuvanje plemenite periske (</w:t>
      </w:r>
      <w:proofErr w:type="spellStart"/>
      <w:r w:rsidRPr="00231F91">
        <w:rPr>
          <w:i/>
          <w:iCs/>
          <w:lang w:eastAsia="de-DE"/>
        </w:rPr>
        <w:t>Pinna</w:t>
      </w:r>
      <w:proofErr w:type="spellEnd"/>
      <w:r w:rsidRPr="00231F91">
        <w:rPr>
          <w:i/>
          <w:iCs/>
          <w:lang w:eastAsia="de-DE"/>
        </w:rPr>
        <w:t xml:space="preserve"> </w:t>
      </w:r>
      <w:proofErr w:type="spellStart"/>
      <w:r w:rsidRPr="00231F91">
        <w:rPr>
          <w:i/>
          <w:iCs/>
          <w:lang w:eastAsia="de-DE"/>
        </w:rPr>
        <w:t>nobilis</w:t>
      </w:r>
      <w:proofErr w:type="spellEnd"/>
      <w:r w:rsidRPr="00231F91">
        <w:rPr>
          <w:i/>
          <w:iCs/>
          <w:lang w:eastAsia="de-DE"/>
        </w:rPr>
        <w:t>) u Jadranskom moru, za razdoblje od 2023. -2025.g.</w:t>
      </w:r>
      <w:r w:rsidRPr="00231F91">
        <w:rPr>
          <w:lang w:eastAsia="de-DE"/>
        </w:rPr>
        <w:t>, kojeg provode JU NP Brijuni za sjeverni dio Jadrana, JU PP Telašćica za srednji dio Jadrana te JU More i krš za južni dio Jadrana isplaćena su sredstva u 2023. i 2024. godini za realizaciju dijela aktivnosti sukladno dinamici reali</w:t>
      </w:r>
      <w:r w:rsidR="001F0170">
        <w:rPr>
          <w:lang w:eastAsia="de-DE"/>
        </w:rPr>
        <w:t>z</w:t>
      </w:r>
      <w:r w:rsidRPr="00231F91">
        <w:rPr>
          <w:lang w:eastAsia="de-DE"/>
        </w:rPr>
        <w:t xml:space="preserve">acije. </w:t>
      </w:r>
    </w:p>
    <w:p w14:paraId="3B711049" w14:textId="07CEE471" w:rsidR="006979E3" w:rsidRPr="001F0170" w:rsidRDefault="0042048F" w:rsidP="00077A5D">
      <w:pPr>
        <w:pStyle w:val="Odlomakpopisa"/>
        <w:numPr>
          <w:ilvl w:val="0"/>
          <w:numId w:val="19"/>
        </w:numPr>
        <w:spacing w:before="60" w:after="60"/>
        <w:rPr>
          <w:lang w:eastAsia="de-DE"/>
        </w:rPr>
      </w:pPr>
      <w:r w:rsidRPr="00231F91">
        <w:rPr>
          <w:lang w:eastAsia="de-DE"/>
        </w:rPr>
        <w:t xml:space="preserve">U okviru projekta HAZU-a, </w:t>
      </w:r>
      <w:r w:rsidRPr="00231F91">
        <w:rPr>
          <w:i/>
          <w:iCs/>
          <w:lang w:eastAsia="de-DE"/>
        </w:rPr>
        <w:t>Modernizacija i uspostava održivosti sustavnog monitoringa selidbenih putova i demografije ptica u Hrvatskoj znanstvenim prstenovanjem</w:t>
      </w:r>
      <w:r w:rsidRPr="00231F91">
        <w:rPr>
          <w:lang w:eastAsia="de-DE"/>
        </w:rPr>
        <w:t xml:space="preserve">, </w:t>
      </w:r>
      <w:r w:rsidR="00ED5D7F">
        <w:rPr>
          <w:lang w:eastAsia="de-DE"/>
        </w:rPr>
        <w:t>FOND</w:t>
      </w:r>
      <w:r w:rsidRPr="00231F91">
        <w:rPr>
          <w:lang w:eastAsia="de-DE"/>
        </w:rPr>
        <w:t xml:space="preserve"> je u 2023.</w:t>
      </w:r>
      <w:r w:rsidR="00231F91" w:rsidRPr="00231F91">
        <w:rPr>
          <w:lang w:eastAsia="de-DE"/>
        </w:rPr>
        <w:t xml:space="preserve"> i 2024. </w:t>
      </w:r>
      <w:r w:rsidRPr="00231F91">
        <w:rPr>
          <w:lang w:eastAsia="de-DE"/>
        </w:rPr>
        <w:t>g. sufinancirao aktivnosti monitoringa ptica te modernizaciju i poboljšanje integracije hrvatskih podataka i programa prstenovanja u europski okvir kroz ujednačavanje i usklađivanje procedura rada na terenu i povećanje učinkovitosti razmjene podataka i sudjelovanje znanstvenika HAZU-a u radu međunarodne organizacije EURING te sudjelovanje u izradi Europskog atlasa migracija ptica.</w:t>
      </w:r>
    </w:p>
    <w:p w14:paraId="4D09A916" w14:textId="1574E9AC" w:rsidR="0042048F" w:rsidRDefault="0042048F" w:rsidP="00077A5D">
      <w:pPr>
        <w:pStyle w:val="Odlomakpopisa"/>
        <w:numPr>
          <w:ilvl w:val="0"/>
          <w:numId w:val="19"/>
        </w:numPr>
        <w:spacing w:before="60" w:after="60"/>
        <w:rPr>
          <w:lang w:eastAsia="de-DE"/>
        </w:rPr>
      </w:pPr>
      <w:r w:rsidRPr="00231F91">
        <w:rPr>
          <w:lang w:eastAsia="de-DE"/>
        </w:rPr>
        <w:t xml:space="preserve">U okviru projekta </w:t>
      </w:r>
      <w:r w:rsidR="006979E3" w:rsidRPr="00231F91">
        <w:rPr>
          <w:lang w:eastAsia="de-DE"/>
        </w:rPr>
        <w:t>MZOZT-a</w:t>
      </w:r>
      <w:r w:rsidRPr="00231F91">
        <w:rPr>
          <w:lang w:eastAsia="de-DE"/>
        </w:rPr>
        <w:t xml:space="preserve">, </w:t>
      </w:r>
      <w:r w:rsidRPr="00231F91">
        <w:rPr>
          <w:i/>
          <w:iCs/>
          <w:lang w:eastAsia="de-DE"/>
        </w:rPr>
        <w:t xml:space="preserve">Učinkovitije upravljanje speleološkim objektima Republike Hrvatske kroz održavanje i nadogradnju sustava </w:t>
      </w:r>
      <w:proofErr w:type="spellStart"/>
      <w:r w:rsidRPr="00231F91">
        <w:rPr>
          <w:i/>
          <w:iCs/>
          <w:lang w:eastAsia="de-DE"/>
        </w:rPr>
        <w:t>CroSpeleo</w:t>
      </w:r>
      <w:proofErr w:type="spellEnd"/>
      <w:r w:rsidRPr="00231F91">
        <w:rPr>
          <w:i/>
          <w:iCs/>
          <w:lang w:eastAsia="de-DE"/>
        </w:rPr>
        <w:t xml:space="preserve"> kao dijela Informacijskog sustava zaštite prirode</w:t>
      </w:r>
      <w:r w:rsidRPr="00231F91">
        <w:rPr>
          <w:lang w:eastAsia="de-DE"/>
        </w:rPr>
        <w:t xml:space="preserve"> planiran je daljnji razvoj, održavanje i unos podataka u informacijski sustav </w:t>
      </w:r>
      <w:proofErr w:type="spellStart"/>
      <w:r w:rsidRPr="00231F91">
        <w:rPr>
          <w:lang w:eastAsia="de-DE"/>
        </w:rPr>
        <w:t>CroSpeleo</w:t>
      </w:r>
      <w:proofErr w:type="spellEnd"/>
      <w:r w:rsidRPr="00231F91">
        <w:rPr>
          <w:lang w:eastAsia="de-DE"/>
        </w:rPr>
        <w:t xml:space="preserve">, odnosno njene sastavnice Katastar i Arhiv te rješavanje problema najraširenije ugroze – otpada u speleološkim objektima, s ciljem dodatnog prikupljanja podataka na terenu. Prikupljeni rezultati bit će lako dostupni sektoru zaštite okoliša i prirode, dionicima Katastra i široj zainteresiranoj javnosti u svrhu očuvanja vrsta i staništa te analize i praćenja utjecaja klimatskih promjena. </w:t>
      </w:r>
      <w:r w:rsidRPr="00231F91">
        <w:rPr>
          <w:lang w:eastAsia="de-DE"/>
        </w:rPr>
        <w:lastRenderedPageBreak/>
        <w:t>Provedbom planiranih aktivnosti, projekt će doprinijeti postizanju ciljeva Strategije i akcijskog plana zaštite prirode Republike Hrvatske za razdoblje 2017. do 2025. godine, kao i Strategije prilagodbe klimatskim promjenama Republike Hrvatske za razdoblje do 2040. s pogledom na 2070. godinu s Akcijskim planom.</w:t>
      </w:r>
    </w:p>
    <w:p w14:paraId="32C791E1" w14:textId="654C526E" w:rsidR="00952BB6" w:rsidRDefault="00231F91" w:rsidP="00077A5D">
      <w:pPr>
        <w:pStyle w:val="Odlomakpopisa"/>
        <w:numPr>
          <w:ilvl w:val="0"/>
          <w:numId w:val="19"/>
        </w:numPr>
        <w:spacing w:before="60" w:after="60"/>
      </w:pPr>
      <w:r w:rsidRPr="00231F91">
        <w:rPr>
          <w:i/>
          <w:iCs/>
        </w:rPr>
        <w:t>Razvoj baze podataka i funkcionalnosti Informacijskog sustava zaštite prirode (ISZP) za Sustav praćenja stanja</w:t>
      </w:r>
      <w:r w:rsidRPr="00231F91">
        <w:t xml:space="preserve"> kojeg provodi MZOZT s ciljem uspostave baze podataka </w:t>
      </w:r>
      <w:proofErr w:type="spellStart"/>
      <w:r w:rsidRPr="00231F91">
        <w:t>CroFauna</w:t>
      </w:r>
      <w:proofErr w:type="spellEnd"/>
      <w:r w:rsidRPr="00231F91">
        <w:t>, kao komponente ISZP-a, čime su se ispunile obveze ispunjavanja indikatora EU projekta – „Razvoj sustava praćenja stanja očuvanosti vrsta i stanišnih tipova“ – referentne oznake KK.06.5.1.03.0001, kao dio obveze RH prema pravnoj stečevini EU i doprinijelo provedbi Strategije i akcijskog plana zaštite prirode Republike Hrvatske za razdoblje 2017.– 2025.</w:t>
      </w:r>
    </w:p>
    <w:p w14:paraId="52F7B147" w14:textId="2FE74000" w:rsidR="00AB3E4A" w:rsidRPr="00231F91" w:rsidRDefault="001F0170" w:rsidP="00077A5D">
      <w:pPr>
        <w:pStyle w:val="Odlomakpopisa"/>
        <w:numPr>
          <w:ilvl w:val="3"/>
          <w:numId w:val="35"/>
        </w:numPr>
        <w:spacing w:before="60" w:after="60"/>
        <w:ind w:left="2268"/>
      </w:pPr>
      <w:r>
        <w:t xml:space="preserve">ukupno je isplaćeno </w:t>
      </w:r>
      <w:r w:rsidRPr="0042048F">
        <w:rPr>
          <w:b/>
          <w:bCs/>
          <w:lang w:eastAsia="de-DE"/>
        </w:rPr>
        <w:t>3.556.860,25 EUR</w:t>
      </w:r>
      <w:r>
        <w:rPr>
          <w:b/>
          <w:bCs/>
          <w:lang w:eastAsia="de-DE"/>
        </w:rPr>
        <w:t xml:space="preserve"> za 68 </w:t>
      </w:r>
      <w:r w:rsidRPr="0042048F">
        <w:rPr>
          <w:b/>
          <w:bCs/>
          <w:lang w:eastAsia="de-DE"/>
        </w:rPr>
        <w:t>projekata</w:t>
      </w:r>
    </w:p>
    <w:p w14:paraId="2D343A75" w14:textId="5255632A" w:rsidR="00952BB6" w:rsidRPr="00F723C2" w:rsidRDefault="00077A5D" w:rsidP="00952BB6">
      <w:pPr>
        <w:keepNext/>
        <w:keepLines/>
        <w:numPr>
          <w:ilvl w:val="2"/>
          <w:numId w:val="0"/>
        </w:numPr>
        <w:spacing w:before="120" w:after="0"/>
        <w:ind w:left="720" w:hanging="720"/>
        <w:outlineLvl w:val="2"/>
        <w:rPr>
          <w:rFonts w:eastAsiaTheme="majorEastAsia" w:cstheme="majorBidi"/>
          <w:b/>
          <w:szCs w:val="26"/>
        </w:rPr>
      </w:pPr>
      <w:bookmarkStart w:id="46" w:name="_Toc156830344"/>
      <w:bookmarkStart w:id="47" w:name="_Toc226980239"/>
      <w:r>
        <w:rPr>
          <w:rFonts w:eastAsiaTheme="majorEastAsia" w:cstheme="majorBidi"/>
          <w:b/>
          <w:szCs w:val="26"/>
        </w:rPr>
        <w:t>4</w:t>
      </w:r>
      <w:r w:rsidR="00DF23D5">
        <w:rPr>
          <w:rFonts w:eastAsiaTheme="majorEastAsia" w:cstheme="majorBidi"/>
          <w:b/>
          <w:szCs w:val="26"/>
        </w:rPr>
        <w:t xml:space="preserve">.2.4. </w:t>
      </w:r>
      <w:r w:rsidR="00952BB6" w:rsidRPr="00F723C2">
        <w:rPr>
          <w:rFonts w:eastAsiaTheme="majorEastAsia" w:cstheme="majorBidi"/>
          <w:b/>
          <w:szCs w:val="26"/>
        </w:rPr>
        <w:t>Istraživanje i razvoj, stručna podrška i projekti s trećim zemljama (IR)</w:t>
      </w:r>
      <w:bookmarkEnd w:id="46"/>
      <w:bookmarkEnd w:id="47"/>
    </w:p>
    <w:p w14:paraId="47B36C8D" w14:textId="77777777" w:rsidR="00952BB6" w:rsidRPr="00F723C2" w:rsidRDefault="00952BB6" w:rsidP="00952BB6">
      <w:pPr>
        <w:spacing w:before="60" w:after="60"/>
        <w:rPr>
          <w:lang w:eastAsia="hr-HR"/>
        </w:rPr>
      </w:pPr>
    </w:p>
    <w:p w14:paraId="49583317" w14:textId="4E5A2EC9" w:rsidR="00952BB6" w:rsidRPr="00F723C2" w:rsidRDefault="00952BB6" w:rsidP="002C2CB3">
      <w:pPr>
        <w:spacing w:before="60" w:after="60"/>
        <w:ind w:firstLine="709"/>
        <w:rPr>
          <w:lang w:eastAsia="hr-HR"/>
        </w:rPr>
      </w:pPr>
      <w:r w:rsidRPr="00F723C2">
        <w:rPr>
          <w:lang w:eastAsia="hr-HR"/>
        </w:rPr>
        <w:t>Kako bi se u budućnosti mogle donijeti kvalitetne preporuke za provedbu budućih mjera, potrebno je kontinuirano pratiti i izvještavati o postignutim rezultatima. Također je potrebno provoditi mjere u segmentu istraživanja i razvoja te stručne podrške o mogućim novim tehnologijama/mjerama koje bi u sljedećem razdoblju mogle zamijeniti ili nadopuniti mjere koje su predložene Planom II.</w:t>
      </w:r>
    </w:p>
    <w:p w14:paraId="57ACD956" w14:textId="77777777" w:rsidR="00952BB6" w:rsidRPr="00F723C2" w:rsidRDefault="00952BB6" w:rsidP="002C2CB3">
      <w:pPr>
        <w:spacing w:before="60" w:after="60"/>
        <w:ind w:firstLine="709"/>
        <w:rPr>
          <w:lang w:eastAsia="hr-HR"/>
        </w:rPr>
      </w:pPr>
    </w:p>
    <w:p w14:paraId="1D1AAC3C" w14:textId="77777777" w:rsidR="00952BB6" w:rsidRPr="00F723C2" w:rsidRDefault="00952BB6" w:rsidP="002C2CB3">
      <w:pPr>
        <w:spacing w:before="60" w:after="60"/>
        <w:ind w:firstLine="709"/>
        <w:rPr>
          <w:b/>
          <w:bCs/>
          <w:lang w:eastAsia="hr-HR"/>
        </w:rPr>
      </w:pPr>
      <w:r w:rsidRPr="00F723C2">
        <w:rPr>
          <w:lang w:eastAsia="hr-HR"/>
        </w:rPr>
        <w:t xml:space="preserve">Područje Istraživanje i razvoj, stručna podrška i projekti s trećim zemljama (IR) odnosi se na mjeru </w:t>
      </w:r>
      <w:bookmarkStart w:id="48" w:name="_Hlk101774333"/>
      <w:r w:rsidRPr="00F723C2">
        <w:rPr>
          <w:b/>
          <w:bCs/>
          <w:lang w:eastAsia="hr-HR"/>
        </w:rPr>
        <w:t>Istraživanje i razvoj, stručnu podršku (IRSP)</w:t>
      </w:r>
      <w:r w:rsidRPr="00F723C2">
        <w:rPr>
          <w:lang w:eastAsia="hr-HR"/>
        </w:rPr>
        <w:t xml:space="preserve"> </w:t>
      </w:r>
      <w:bookmarkEnd w:id="48"/>
      <w:r w:rsidRPr="00F723C2">
        <w:rPr>
          <w:lang w:eastAsia="hr-HR"/>
        </w:rPr>
        <w:t xml:space="preserve">te na mjeru </w:t>
      </w:r>
      <w:r w:rsidRPr="00F723C2">
        <w:rPr>
          <w:b/>
          <w:bCs/>
          <w:lang w:eastAsia="hr-HR"/>
        </w:rPr>
        <w:t>Projekti s trećim zemljama (TZ).</w:t>
      </w:r>
    </w:p>
    <w:p w14:paraId="234E342B" w14:textId="77777777" w:rsidR="00952BB6" w:rsidRPr="00F723C2" w:rsidRDefault="00952BB6" w:rsidP="002C2CB3">
      <w:pPr>
        <w:spacing w:before="60" w:after="60"/>
        <w:ind w:firstLine="709"/>
        <w:rPr>
          <w:b/>
          <w:bCs/>
          <w:lang w:eastAsia="hr-HR"/>
        </w:rPr>
      </w:pPr>
    </w:p>
    <w:p w14:paraId="0C2AD4C7" w14:textId="7952B1C1" w:rsidR="00952BB6" w:rsidRPr="00B129F8" w:rsidRDefault="00952BB6" w:rsidP="00B129F8">
      <w:pPr>
        <w:spacing w:before="60" w:after="60"/>
        <w:ind w:firstLine="709"/>
        <w:rPr>
          <w:b/>
          <w:bCs/>
        </w:rPr>
      </w:pPr>
      <w:r w:rsidRPr="00F723C2">
        <w:rPr>
          <w:b/>
          <w:bCs/>
          <w:lang w:eastAsia="hr-HR"/>
        </w:rPr>
        <w:t>Mjerom Istraživanje i razvoj, stručna podrška (IRSP)</w:t>
      </w:r>
      <w:r w:rsidRPr="00F723C2">
        <w:rPr>
          <w:lang w:eastAsia="hr-HR"/>
        </w:rPr>
        <w:t xml:space="preserve"> potica</w:t>
      </w:r>
      <w:r w:rsidR="001F0170">
        <w:rPr>
          <w:lang w:eastAsia="hr-HR"/>
        </w:rPr>
        <w:t>o</w:t>
      </w:r>
      <w:r w:rsidRPr="00F723C2">
        <w:rPr>
          <w:lang w:eastAsia="hr-HR"/>
        </w:rPr>
        <w:t xml:space="preserve"> se razvoj inovativnih rješenja koja doprinose realizaciji ciljeva Europskog zelenog plana, unapređenje izvješćivanja iz svih sektora, uključujući sektor LULUCF, poticanje zelene javne nabave te sufinanciranje nacionalne komponente LIFE i drugih EU programa.</w:t>
      </w:r>
    </w:p>
    <w:p w14:paraId="4D2489A0" w14:textId="7664DD80" w:rsidR="00B129F8" w:rsidRDefault="00952BB6" w:rsidP="00B129F8">
      <w:pPr>
        <w:pStyle w:val="Odlomakpopisa"/>
        <w:numPr>
          <w:ilvl w:val="2"/>
          <w:numId w:val="3"/>
        </w:numPr>
        <w:shd w:val="clear" w:color="auto" w:fill="FFFFFF"/>
        <w:spacing w:before="60" w:after="60"/>
        <w:ind w:left="2268"/>
      </w:pPr>
      <w:r w:rsidRPr="00F723C2">
        <w:t xml:space="preserve">Za </w:t>
      </w:r>
      <w:r w:rsidRPr="00F723C2">
        <w:rPr>
          <w:b/>
          <w:bCs/>
        </w:rPr>
        <w:t>mjeru IRSP</w:t>
      </w:r>
      <w:r w:rsidRPr="00F723C2">
        <w:t xml:space="preserve"> </w:t>
      </w:r>
      <w:r w:rsidR="00B129F8">
        <w:t xml:space="preserve">ukupno je </w:t>
      </w:r>
      <w:r w:rsidR="00B129F8" w:rsidRPr="00F723C2">
        <w:t>isplaćen</w:t>
      </w:r>
      <w:r w:rsidR="00B129F8">
        <w:t>o</w:t>
      </w:r>
      <w:r w:rsidR="00B129F8" w:rsidRPr="00F723C2">
        <w:t xml:space="preserve"> </w:t>
      </w:r>
      <w:r w:rsidR="00B129F8" w:rsidRPr="001F0170">
        <w:rPr>
          <w:b/>
          <w:bCs/>
        </w:rPr>
        <w:t xml:space="preserve">1.315.449,47 EUR </w:t>
      </w:r>
    </w:p>
    <w:p w14:paraId="6231A09F" w14:textId="7FAF18DE" w:rsidR="00952BB6" w:rsidRPr="00F723C2" w:rsidRDefault="00B129F8" w:rsidP="002C2CB3">
      <w:pPr>
        <w:spacing w:before="60" w:after="60"/>
        <w:ind w:firstLine="709"/>
      </w:pPr>
      <w:r>
        <w:t>Projekti provedeni u IRSP mjeri odnosili su se na</w:t>
      </w:r>
      <w:r w:rsidR="00952BB6" w:rsidRPr="00F723C2">
        <w:t>:</w:t>
      </w:r>
    </w:p>
    <w:p w14:paraId="5FF414F0" w14:textId="21565EE4" w:rsidR="00F723C2" w:rsidRDefault="00F723C2" w:rsidP="00077A5D">
      <w:pPr>
        <w:pStyle w:val="Odlomakpopisa"/>
        <w:numPr>
          <w:ilvl w:val="0"/>
          <w:numId w:val="19"/>
        </w:numPr>
        <w:shd w:val="clear" w:color="auto" w:fill="FFFFFF"/>
        <w:spacing w:before="60" w:after="60"/>
      </w:pPr>
      <w:r w:rsidRPr="00F723C2">
        <w:t>realizaciju dijelova višegodišnj</w:t>
      </w:r>
      <w:r w:rsidR="00F86AA0">
        <w:t>ih</w:t>
      </w:r>
      <w:r w:rsidRPr="00F723C2">
        <w:t xml:space="preserve"> projek</w:t>
      </w:r>
      <w:r w:rsidR="00F86AA0">
        <w:t>a</w:t>
      </w:r>
      <w:r w:rsidRPr="00F723C2">
        <w:t>ta u okviru provedbe projekata koji se odnose na unapređenje izvješćivanja iz sektora LULUCF:</w:t>
      </w:r>
    </w:p>
    <w:p w14:paraId="72C5642E" w14:textId="0B214ED6" w:rsidR="00F723C2" w:rsidRDefault="00F723C2" w:rsidP="00077A5D">
      <w:pPr>
        <w:pStyle w:val="Odlomakpopisa"/>
        <w:numPr>
          <w:ilvl w:val="3"/>
          <w:numId w:val="36"/>
        </w:numPr>
        <w:shd w:val="clear" w:color="auto" w:fill="FFFFFF"/>
        <w:spacing w:before="60" w:after="60"/>
        <w:ind w:left="1134"/>
      </w:pPr>
      <w:r w:rsidRPr="00F723C2">
        <w:t xml:space="preserve">„Jačanje kapaciteta za izradu projekcija u LULUCF sektoru“, </w:t>
      </w:r>
    </w:p>
    <w:p w14:paraId="3B545157" w14:textId="6FCF5F37" w:rsidR="00F723C2" w:rsidRDefault="00F723C2" w:rsidP="00077A5D">
      <w:pPr>
        <w:pStyle w:val="Odlomakpopisa"/>
        <w:numPr>
          <w:ilvl w:val="3"/>
          <w:numId w:val="36"/>
        </w:numPr>
        <w:shd w:val="clear" w:color="auto" w:fill="FFFFFF"/>
        <w:spacing w:before="60" w:after="60"/>
        <w:ind w:left="1134"/>
      </w:pPr>
      <w:r w:rsidRPr="00F723C2">
        <w:t>„Definiranje aktivnosti za povećanje upijanja CO</w:t>
      </w:r>
      <w:r w:rsidRPr="001F0170">
        <w:rPr>
          <w:vertAlign w:val="subscript"/>
        </w:rPr>
        <w:t>2</w:t>
      </w:r>
      <w:r w:rsidRPr="00F723C2">
        <w:t xml:space="preserve"> u </w:t>
      </w:r>
      <w:proofErr w:type="spellStart"/>
      <w:r w:rsidRPr="00F723C2">
        <w:t>pohraništima</w:t>
      </w:r>
      <w:proofErr w:type="spellEnd"/>
      <w:r w:rsidRPr="00F723C2">
        <w:t xml:space="preserve"> ugljika sukladno odredbama Uredbe 2018/841EU u svezi trgovanja ponorima do kojih dolazi u definiranim obračunskim kategorijama zemljišta“ </w:t>
      </w:r>
    </w:p>
    <w:p w14:paraId="1120E2DA" w14:textId="3793BBF3" w:rsidR="00952BB6" w:rsidRDefault="00F723C2" w:rsidP="00077A5D">
      <w:pPr>
        <w:pStyle w:val="Odlomakpopisa"/>
        <w:numPr>
          <w:ilvl w:val="3"/>
          <w:numId w:val="36"/>
        </w:numPr>
        <w:shd w:val="clear" w:color="auto" w:fill="FFFFFF"/>
        <w:spacing w:before="60" w:after="60"/>
        <w:ind w:left="1134"/>
      </w:pPr>
      <w:r w:rsidRPr="00F723C2">
        <w:t xml:space="preserve">„Utvrđivanje zalihe ugljika u </w:t>
      </w:r>
      <w:proofErr w:type="spellStart"/>
      <w:r w:rsidRPr="00F723C2">
        <w:t>pohraništu</w:t>
      </w:r>
      <w:proofErr w:type="spellEnd"/>
      <w:r w:rsidRPr="00F723C2">
        <w:t xml:space="preserve"> mrtvoga drva temeljem provedbe novog istraživanja na plohama uzorkovanja mrtvog drva iz 2006. godine“</w:t>
      </w:r>
    </w:p>
    <w:p w14:paraId="357403B0" w14:textId="46F47545" w:rsidR="00F723C2" w:rsidRDefault="00F723C2" w:rsidP="00077A5D">
      <w:pPr>
        <w:pStyle w:val="Odlomakpopisa"/>
        <w:numPr>
          <w:ilvl w:val="3"/>
          <w:numId w:val="36"/>
        </w:numPr>
        <w:shd w:val="clear" w:color="auto" w:fill="FFFFFF"/>
        <w:spacing w:before="60" w:after="60"/>
        <w:ind w:left="1134"/>
      </w:pPr>
      <w:r w:rsidRPr="00F723C2">
        <w:t>„Uspostave sustava za izvješćivanje o drvnim proizvodima Cro-</w:t>
      </w:r>
      <w:proofErr w:type="spellStart"/>
      <w:r w:rsidRPr="00F723C2">
        <w:t>woods</w:t>
      </w:r>
      <w:proofErr w:type="spellEnd"/>
      <w:r w:rsidRPr="00F723C2">
        <w:t xml:space="preserve"> (HWP)“</w:t>
      </w:r>
    </w:p>
    <w:p w14:paraId="175AA030" w14:textId="77777777" w:rsidR="00F723C2" w:rsidRDefault="00F723C2" w:rsidP="00952BB6">
      <w:pPr>
        <w:shd w:val="clear" w:color="auto" w:fill="FFFFFF"/>
        <w:spacing w:before="60" w:after="60"/>
      </w:pPr>
    </w:p>
    <w:p w14:paraId="1E3CE622" w14:textId="44FFE90E" w:rsidR="00F723C2" w:rsidRDefault="00F851CB" w:rsidP="00077A5D">
      <w:pPr>
        <w:pStyle w:val="Odlomakpopisa"/>
        <w:numPr>
          <w:ilvl w:val="0"/>
          <w:numId w:val="19"/>
        </w:numPr>
        <w:shd w:val="clear" w:color="auto" w:fill="FFFFFF"/>
        <w:spacing w:before="60" w:after="60"/>
      </w:pPr>
      <w:r>
        <w:lastRenderedPageBreak/>
        <w:t xml:space="preserve">provedbu </w:t>
      </w:r>
      <w:r w:rsidR="00F723C2" w:rsidRPr="00F723C2">
        <w:t>2 projekta odobrena po provedenom Javnom natječaju za razvojno inovacijske projekte u svrhu provedbe Europskog zelenog plana (ZO/ENU-1/22) kojeg provode Hrvatski šumarski institut i Sveučilište u Slavonskom Brodu</w:t>
      </w:r>
      <w:r w:rsidR="00F723C2">
        <w:t>.</w:t>
      </w:r>
    </w:p>
    <w:p w14:paraId="31C9A026" w14:textId="5FFDB968" w:rsidR="00F723C2" w:rsidRDefault="00B129F8" w:rsidP="00077A5D">
      <w:pPr>
        <w:pStyle w:val="Odlomakpopisa"/>
        <w:numPr>
          <w:ilvl w:val="0"/>
          <w:numId w:val="19"/>
        </w:numPr>
        <w:shd w:val="clear" w:color="auto" w:fill="FFFFFF"/>
        <w:spacing w:before="60" w:after="60"/>
      </w:pPr>
      <w:r>
        <w:t xml:space="preserve">provedbu </w:t>
      </w:r>
      <w:r w:rsidR="00F851CB">
        <w:t>10</w:t>
      </w:r>
      <w:r w:rsidR="00F723C2">
        <w:t xml:space="preserve"> projekata </w:t>
      </w:r>
      <w:r w:rsidR="00F851CB">
        <w:t xml:space="preserve">u okviru kojih </w:t>
      </w:r>
      <w:r w:rsidR="00ED5D7F">
        <w:t>F</w:t>
      </w:r>
      <w:r w:rsidR="00AC005A">
        <w:t>ond</w:t>
      </w:r>
      <w:r w:rsidR="00F851CB">
        <w:t xml:space="preserve"> sufinancira </w:t>
      </w:r>
      <w:r w:rsidR="00F723C2">
        <w:t xml:space="preserve">nacionalnu komponentu </w:t>
      </w:r>
      <w:r>
        <w:t xml:space="preserve">sljedećih </w:t>
      </w:r>
      <w:r w:rsidR="00F723C2">
        <w:t>LIFE projekata:</w:t>
      </w:r>
    </w:p>
    <w:p w14:paraId="7CB85FD7" w14:textId="2BD3481E" w:rsidR="00F723C2" w:rsidRDefault="00F723C2" w:rsidP="00077A5D">
      <w:pPr>
        <w:pStyle w:val="Odlomakpopisa"/>
        <w:numPr>
          <w:ilvl w:val="3"/>
          <w:numId w:val="37"/>
        </w:numPr>
        <w:shd w:val="clear" w:color="auto" w:fill="FFFFFF"/>
        <w:spacing w:before="60" w:after="60"/>
        <w:ind w:left="993"/>
      </w:pPr>
      <w:r w:rsidRPr="00F723C2">
        <w:t>A1 Hrvatska d.o.o., smanjenje emisije CO2 u elektroničkoj komunikacijskoj mreži kroz implementaciju rješenja slobodnog hlađenja i solarne energije</w:t>
      </w:r>
    </w:p>
    <w:p w14:paraId="41BE78C1" w14:textId="6F9FABE9" w:rsidR="00F851CB" w:rsidRDefault="00F851CB" w:rsidP="00077A5D">
      <w:pPr>
        <w:pStyle w:val="Odlomakpopisa"/>
        <w:numPr>
          <w:ilvl w:val="3"/>
          <w:numId w:val="37"/>
        </w:numPr>
        <w:shd w:val="clear" w:color="auto" w:fill="FFFFFF"/>
        <w:spacing w:before="60" w:after="60"/>
        <w:ind w:left="993"/>
      </w:pPr>
      <w:r>
        <w:t xml:space="preserve">Sveučilište u Zagrebu Veterinarski fakultet za projekt LIFE </w:t>
      </w:r>
      <w:proofErr w:type="spellStart"/>
      <w:r>
        <w:t>Wild</w:t>
      </w:r>
      <w:proofErr w:type="spellEnd"/>
      <w:r>
        <w:t xml:space="preserve"> </w:t>
      </w:r>
      <w:proofErr w:type="spellStart"/>
      <w:r>
        <w:t>Wolf</w:t>
      </w:r>
      <w:proofErr w:type="spellEnd"/>
      <w:r>
        <w:t xml:space="preserve">, koji ima za cilj poboljšati uvjete za dijeljenje zemljišta između vukova i ljudi u urbanim i </w:t>
      </w:r>
      <w:proofErr w:type="spellStart"/>
      <w:r>
        <w:t>periurbanim</w:t>
      </w:r>
      <w:proofErr w:type="spellEnd"/>
      <w:r>
        <w:t xml:space="preserve"> područjima, bez gubljenja ekološke uloge i kulturnog identiteta divljih vukova i lokalnih zajednica.</w:t>
      </w:r>
    </w:p>
    <w:p w14:paraId="58CD2ECA" w14:textId="3F1EFB49" w:rsidR="00F851CB" w:rsidRDefault="00F851CB" w:rsidP="00077A5D">
      <w:pPr>
        <w:pStyle w:val="Odlomakpopisa"/>
        <w:numPr>
          <w:ilvl w:val="3"/>
          <w:numId w:val="37"/>
        </w:numPr>
        <w:shd w:val="clear" w:color="auto" w:fill="FFFFFF"/>
        <w:spacing w:before="60" w:after="60"/>
        <w:ind w:left="993"/>
      </w:pPr>
      <w:r>
        <w:t xml:space="preserve">BIOM - za projekt LIFE </w:t>
      </w:r>
      <w:proofErr w:type="spellStart"/>
      <w:r>
        <w:t>SUPport</w:t>
      </w:r>
      <w:proofErr w:type="spellEnd"/>
      <w:r>
        <w:t xml:space="preserve"> koji ima za cilj unaprijediti uvjete za gniježđenje i preživljavanje zadnje preostale populacije bjeloglavog supa (</w:t>
      </w:r>
      <w:proofErr w:type="spellStart"/>
      <w:r>
        <w:t>Gyps</w:t>
      </w:r>
      <w:proofErr w:type="spellEnd"/>
      <w:r>
        <w:t xml:space="preserve"> </w:t>
      </w:r>
      <w:proofErr w:type="spellStart"/>
      <w:r>
        <w:t>fulvus</w:t>
      </w:r>
      <w:proofErr w:type="spellEnd"/>
      <w:r>
        <w:t>) u Hrvatskoj, na Kvarnerskim otocima;</w:t>
      </w:r>
    </w:p>
    <w:p w14:paraId="1F11A8CC" w14:textId="5024706B" w:rsidR="00F723C2" w:rsidRDefault="00F723C2" w:rsidP="00077A5D">
      <w:pPr>
        <w:pStyle w:val="Odlomakpopisa"/>
        <w:numPr>
          <w:ilvl w:val="3"/>
          <w:numId w:val="37"/>
        </w:numPr>
        <w:shd w:val="clear" w:color="auto" w:fill="FFFFFF"/>
        <w:spacing w:before="60" w:after="60"/>
        <w:ind w:left="993"/>
      </w:pPr>
      <w:r>
        <w:t xml:space="preserve">Sveučilište u Zagrebu Agronomski fakultet za projekt LIFE for </w:t>
      </w:r>
      <w:proofErr w:type="spellStart"/>
      <w:r>
        <w:t>Mauremys</w:t>
      </w:r>
      <w:proofErr w:type="spellEnd"/>
      <w:r>
        <w:t xml:space="preserve"> ima za cilj ukloniti prijetnje koje su vezane za degradaciju staništa i direktnu smrtnost kornjača, (uklanjanje zaraslih gnjezdilišta, obnova sunčališta, ograničavanje utjecaja invazivnih vrsta i ilegalnih ribarskih vrša, neadekvatno upravljanje vodenim staništima itd.) te razvoj protokola za održavanje gnjezdilišta i restauraciju mediteranskih lokvi, obnovu zaraslih vodenih i kopnenih staništa te neadekvatno upravljanje vodenim staništima itd.</w:t>
      </w:r>
    </w:p>
    <w:p w14:paraId="6ABD1A63" w14:textId="4286965B" w:rsidR="00F723C2" w:rsidRDefault="00F723C2" w:rsidP="00077A5D">
      <w:pPr>
        <w:pStyle w:val="Odlomakpopisa"/>
        <w:numPr>
          <w:ilvl w:val="3"/>
          <w:numId w:val="37"/>
        </w:numPr>
        <w:shd w:val="clear" w:color="auto" w:fill="FFFFFF"/>
        <w:spacing w:before="60" w:after="60"/>
        <w:ind w:left="993"/>
      </w:pPr>
      <w:r>
        <w:t xml:space="preserve">JU Zeleni prsten Zagrebačke županije za projekt LIFE - LIFE22-NAT-SI-LIFE </w:t>
      </w:r>
      <w:proofErr w:type="spellStart"/>
      <w:r>
        <w:t>OrnamentalIAS</w:t>
      </w:r>
      <w:proofErr w:type="spellEnd"/>
      <w:r>
        <w:t xml:space="preserve">. Projektom se planira izrada procjene </w:t>
      </w:r>
      <w:proofErr w:type="spellStart"/>
      <w:r>
        <w:t>invazivnosti</w:t>
      </w:r>
      <w:proofErr w:type="spellEnd"/>
      <w:r>
        <w:t xml:space="preserve"> ukrasnih biljaka i prilagodba kodeksa ponašanja za uzgajivače, ograničavanje unošenja i širenja invazivnih stranih ukrasnih biljaka iz urbanih područja u prirodu te kao rezultat toga, poboljšanje staništa europski važnih životinjskih i biljnih vrsta u područjima ekološke mreže Natura 2000.</w:t>
      </w:r>
    </w:p>
    <w:p w14:paraId="63CDEBC0" w14:textId="590BF0FD" w:rsidR="00F723C2" w:rsidRDefault="00F723C2" w:rsidP="00077A5D">
      <w:pPr>
        <w:pStyle w:val="Odlomakpopisa"/>
        <w:numPr>
          <w:ilvl w:val="3"/>
          <w:numId w:val="37"/>
        </w:numPr>
        <w:shd w:val="clear" w:color="auto" w:fill="FFFFFF"/>
        <w:spacing w:before="60" w:after="60"/>
        <w:ind w:left="993"/>
      </w:pPr>
      <w:r>
        <w:t>JU za upravljanje zaštićenim dijelovima prirode i ekološkom mrežom i udruga Zeleni Osijek za projekt LIFE22-NAT-AT-LIFE RESTORE for MDD. Projekt ima za cilj obnoviti prirodne hidro morfološke dinamičke procese za mobiliziranje sedimenta za unaprjeđenje ciljnih poplavnih staništa, obnovu i zaštitu poplavnih šuma te uspostavu prekogranične suradnje u izradi plana obnove močvarnih područja Natura 2000 kao i podizanje svijesti o važnosti očuvanja poplavnih područja Rezervata biosfere Mura – Drava – Dunav.</w:t>
      </w:r>
    </w:p>
    <w:p w14:paraId="6483796A" w14:textId="62D6DE7D" w:rsidR="00F723C2" w:rsidRDefault="00F723C2" w:rsidP="00077A5D">
      <w:pPr>
        <w:pStyle w:val="Odlomakpopisa"/>
        <w:numPr>
          <w:ilvl w:val="3"/>
          <w:numId w:val="37"/>
        </w:numPr>
        <w:shd w:val="clear" w:color="auto" w:fill="FFFFFF"/>
        <w:spacing w:before="60" w:after="60"/>
        <w:ind w:left="993"/>
      </w:pPr>
      <w:r>
        <w:t xml:space="preserve">pridruženi korisnik, Pravosudna akademija, za projekt LIFE </w:t>
      </w:r>
      <w:proofErr w:type="spellStart"/>
      <w:r>
        <w:t>SWiPE</w:t>
      </w:r>
      <w:proofErr w:type="spellEnd"/>
      <w:r>
        <w:t>/LIFE19 GIE/BG/000846 (</w:t>
      </w:r>
      <w:proofErr w:type="spellStart"/>
      <w:r>
        <w:t>Successful</w:t>
      </w:r>
      <w:proofErr w:type="spellEnd"/>
      <w:r>
        <w:t xml:space="preserve"> </w:t>
      </w:r>
      <w:proofErr w:type="spellStart"/>
      <w:r>
        <w:t>Wildlife</w:t>
      </w:r>
      <w:proofErr w:type="spellEnd"/>
      <w:r>
        <w:t xml:space="preserve"> </w:t>
      </w:r>
      <w:proofErr w:type="spellStart"/>
      <w:r>
        <w:t>Crime</w:t>
      </w:r>
      <w:proofErr w:type="spellEnd"/>
      <w:r>
        <w:t xml:space="preserve"> </w:t>
      </w:r>
      <w:proofErr w:type="spellStart"/>
      <w:r>
        <w:t>Prosecution</w:t>
      </w:r>
      <w:proofErr w:type="spellEnd"/>
      <w:r>
        <w:t>). Cilj projekta je suzbijanje ekološkog kriminaliteta (ilegalna trgovina, sječa, lov i ribolov, trovanje, ubijanje zaštićenih vrsta i uništavanje staništa) i povećanja broja procesuiranih slučajeva.</w:t>
      </w:r>
    </w:p>
    <w:p w14:paraId="7E48CF3D" w14:textId="55F22006" w:rsidR="00F723C2" w:rsidRDefault="00F723C2" w:rsidP="00077A5D">
      <w:pPr>
        <w:pStyle w:val="Odlomakpopisa"/>
        <w:numPr>
          <w:ilvl w:val="3"/>
          <w:numId w:val="37"/>
        </w:numPr>
        <w:shd w:val="clear" w:color="auto" w:fill="FFFFFF"/>
        <w:spacing w:before="60" w:after="60"/>
        <w:ind w:left="993"/>
      </w:pPr>
      <w:r>
        <w:t xml:space="preserve">MZOZT za projekt </w:t>
      </w:r>
      <w:proofErr w:type="spellStart"/>
      <w:r>
        <w:t>Improve</w:t>
      </w:r>
      <w:proofErr w:type="spellEnd"/>
      <w:r>
        <w:t xml:space="preserve"> </w:t>
      </w:r>
      <w:proofErr w:type="spellStart"/>
      <w:r>
        <w:t>river</w:t>
      </w:r>
      <w:proofErr w:type="spellEnd"/>
      <w:r>
        <w:t xml:space="preserve"> LIFE. Projektom se planira poboljšati stupanj očuvanosti Natura 2000 ciljnih vrsta i staništa poboljšanjem povezanosti riječnih ekosustava uklanjanjem/prilagodbom riječnih barijera te mjerama ublažavanja; prilagodbi prepreka kojima se poboljšava riječna prohodnost.</w:t>
      </w:r>
    </w:p>
    <w:p w14:paraId="124DB5A0" w14:textId="15403873" w:rsidR="00F723C2" w:rsidRDefault="00F723C2" w:rsidP="00077A5D">
      <w:pPr>
        <w:pStyle w:val="Odlomakpopisa"/>
        <w:numPr>
          <w:ilvl w:val="3"/>
          <w:numId w:val="37"/>
        </w:numPr>
        <w:shd w:val="clear" w:color="auto" w:fill="FFFFFF"/>
        <w:spacing w:before="60" w:after="60"/>
        <w:ind w:left="993"/>
      </w:pPr>
      <w:r>
        <w:lastRenderedPageBreak/>
        <w:t xml:space="preserve">Hrvatske šume d.o.o., Delnice za projekt "LIFE </w:t>
      </w:r>
      <w:proofErr w:type="spellStart"/>
      <w:r>
        <w:t>WILDisland</w:t>
      </w:r>
      <w:proofErr w:type="spellEnd"/>
      <w:r>
        <w:t xml:space="preserve">" Fokus projekta je obnova staništa na dunavskom otoku u Parku prirode Kopački rit, zamjenom </w:t>
      </w:r>
      <w:proofErr w:type="spellStart"/>
      <w:r>
        <w:t>klonskog</w:t>
      </w:r>
      <w:proofErr w:type="spellEnd"/>
      <w:r>
        <w:t xml:space="preserve"> nasada </w:t>
      </w:r>
      <w:proofErr w:type="spellStart"/>
      <w:r>
        <w:t>euroameričke</w:t>
      </w:r>
      <w:proofErr w:type="spellEnd"/>
      <w:r>
        <w:t xml:space="preserve"> topole i reintrodukcijom autohtonih vrsta, a u suradnji s Javnom ustanovom Park prirode Kopački rit.</w:t>
      </w:r>
    </w:p>
    <w:p w14:paraId="62B747EF" w14:textId="5ECCF16E" w:rsidR="00F723C2" w:rsidRDefault="00F723C2" w:rsidP="00077A5D">
      <w:pPr>
        <w:pStyle w:val="Odlomakpopisa"/>
        <w:numPr>
          <w:ilvl w:val="3"/>
          <w:numId w:val="37"/>
        </w:numPr>
        <w:shd w:val="clear" w:color="auto" w:fill="FFFFFF"/>
        <w:spacing w:before="60" w:after="60"/>
        <w:ind w:left="993"/>
      </w:pPr>
      <w:r>
        <w:t xml:space="preserve">Udruga BIOM za projekt LIFE TETIDE Cilj projekta je osigurati povoljne uvjete za </w:t>
      </w:r>
      <w:proofErr w:type="spellStart"/>
      <w:r>
        <w:t>gnježđenje</w:t>
      </w:r>
      <w:proofErr w:type="spellEnd"/>
      <w:r>
        <w:t xml:space="preserve"> kolonija ugroženih vrsta morskih ptica </w:t>
      </w:r>
      <w:proofErr w:type="spellStart"/>
      <w:r>
        <w:t>gregule</w:t>
      </w:r>
      <w:proofErr w:type="spellEnd"/>
      <w:r>
        <w:t xml:space="preserve"> i </w:t>
      </w:r>
      <w:proofErr w:type="spellStart"/>
      <w:r>
        <w:t>kaukala</w:t>
      </w:r>
      <w:proofErr w:type="spellEnd"/>
      <w:r>
        <w:t>, primjenom mjera bioraznolikosti te ispitivanje uvjeta za potpunu eradikaciju štakora na Pučinskim otocima i Lastovskom otočju.</w:t>
      </w:r>
    </w:p>
    <w:p w14:paraId="699F08D2" w14:textId="58A74B31" w:rsidR="00F723C2" w:rsidRPr="00952BB6" w:rsidRDefault="00F723C2" w:rsidP="00952BB6">
      <w:pPr>
        <w:shd w:val="clear" w:color="auto" w:fill="FFFFFF"/>
        <w:spacing w:before="60" w:after="60"/>
        <w:rPr>
          <w:rFonts w:eastAsia="Times New Roman"/>
          <w:color w:val="000000"/>
          <w:highlight w:val="yellow"/>
        </w:rPr>
      </w:pPr>
    </w:p>
    <w:p w14:paraId="35AB7B98" w14:textId="1866E46D" w:rsidR="00952BB6" w:rsidRPr="00077A5D" w:rsidRDefault="00077A5D" w:rsidP="00077A5D">
      <w:pPr>
        <w:pStyle w:val="Naslov2"/>
        <w:numPr>
          <w:ilvl w:val="0"/>
          <w:numId w:val="0"/>
        </w:numPr>
        <w:ind w:left="567"/>
        <w:rPr>
          <w:rFonts w:ascii="Times New Roman" w:hAnsi="Times New Roman" w:cs="Times New Roman"/>
          <w:sz w:val="24"/>
          <w:szCs w:val="24"/>
        </w:rPr>
      </w:pPr>
      <w:bookmarkStart w:id="49" w:name="_Toc226980240"/>
      <w:r>
        <w:rPr>
          <w:rFonts w:ascii="Times New Roman" w:hAnsi="Times New Roman" w:cs="Times New Roman"/>
          <w:sz w:val="24"/>
          <w:szCs w:val="24"/>
        </w:rPr>
        <w:t xml:space="preserve">4.3. </w:t>
      </w:r>
      <w:r w:rsidR="00952BB6" w:rsidRPr="00077A5D">
        <w:rPr>
          <w:rFonts w:ascii="Times New Roman" w:hAnsi="Times New Roman" w:cs="Times New Roman"/>
          <w:sz w:val="24"/>
          <w:szCs w:val="24"/>
        </w:rPr>
        <w:t>Zaključ</w:t>
      </w:r>
      <w:r w:rsidR="00705DD7" w:rsidRPr="00077A5D">
        <w:rPr>
          <w:rFonts w:ascii="Times New Roman" w:hAnsi="Times New Roman" w:cs="Times New Roman"/>
          <w:sz w:val="24"/>
          <w:szCs w:val="24"/>
        </w:rPr>
        <w:t>ak</w:t>
      </w:r>
      <w:r w:rsidR="00F86AA0" w:rsidRPr="00077A5D">
        <w:rPr>
          <w:rFonts w:ascii="Times New Roman" w:hAnsi="Times New Roman" w:cs="Times New Roman"/>
          <w:sz w:val="24"/>
          <w:szCs w:val="24"/>
        </w:rPr>
        <w:t xml:space="preserve"> korištenja sredstava iz Plana II.</w:t>
      </w:r>
      <w:bookmarkEnd w:id="49"/>
    </w:p>
    <w:p w14:paraId="0EB14B1E" w14:textId="77777777" w:rsidR="00952BB6" w:rsidRPr="00952BB6" w:rsidRDefault="00952BB6" w:rsidP="00952BB6">
      <w:pPr>
        <w:spacing w:before="60" w:after="60"/>
        <w:rPr>
          <w:b/>
          <w:bCs/>
          <w:highlight w:val="yellow"/>
        </w:rPr>
      </w:pPr>
    </w:p>
    <w:p w14:paraId="7815FEB2" w14:textId="5A41DE78" w:rsidR="00EC2687" w:rsidRDefault="00952BB6" w:rsidP="00F86AA0">
      <w:pPr>
        <w:spacing w:before="60" w:after="60"/>
        <w:ind w:firstLine="709"/>
        <w:rPr>
          <w:rFonts w:eastAsia="Times New Roman"/>
          <w:b/>
          <w:bCs/>
          <w:color w:val="000000"/>
          <w:lang w:eastAsia="hr-HR"/>
        </w:rPr>
      </w:pPr>
      <w:r w:rsidRPr="007325AF">
        <w:rPr>
          <w:b/>
          <w:bCs/>
        </w:rPr>
        <w:t>U razdoblju 202</w:t>
      </w:r>
      <w:r w:rsidR="002530ED" w:rsidRPr="007325AF">
        <w:rPr>
          <w:b/>
          <w:bCs/>
        </w:rPr>
        <w:t>3</w:t>
      </w:r>
      <w:r w:rsidR="007325AF" w:rsidRPr="007325AF">
        <w:rPr>
          <w:b/>
          <w:bCs/>
        </w:rPr>
        <w:t>.</w:t>
      </w:r>
      <w:r w:rsidR="00705DD7">
        <w:rPr>
          <w:b/>
          <w:bCs/>
        </w:rPr>
        <w:t xml:space="preserve"> </w:t>
      </w:r>
      <w:r w:rsidRPr="007325AF">
        <w:rPr>
          <w:b/>
          <w:bCs/>
        </w:rPr>
        <w:t>-</w:t>
      </w:r>
      <w:r w:rsidR="00705DD7">
        <w:rPr>
          <w:b/>
          <w:bCs/>
        </w:rPr>
        <w:t xml:space="preserve"> </w:t>
      </w:r>
      <w:r w:rsidRPr="007325AF">
        <w:rPr>
          <w:b/>
          <w:bCs/>
        </w:rPr>
        <w:t>202</w:t>
      </w:r>
      <w:r w:rsidR="002530ED" w:rsidRPr="007325AF">
        <w:rPr>
          <w:b/>
          <w:bCs/>
        </w:rPr>
        <w:t>4</w:t>
      </w:r>
      <w:r w:rsidRPr="007325AF">
        <w:rPr>
          <w:b/>
          <w:bCs/>
        </w:rPr>
        <w:t xml:space="preserve">. godine </w:t>
      </w:r>
      <w:r w:rsidR="00034C77">
        <w:rPr>
          <w:b/>
          <w:bCs/>
        </w:rPr>
        <w:t xml:space="preserve">od prodaje emisijskih jedinica, </w:t>
      </w:r>
      <w:r w:rsidRPr="007325AF">
        <w:rPr>
          <w:b/>
          <w:bCs/>
        </w:rPr>
        <w:t>ostvaren je prihod</w:t>
      </w:r>
      <w:r w:rsidR="00034C77">
        <w:rPr>
          <w:b/>
          <w:bCs/>
        </w:rPr>
        <w:t xml:space="preserve"> od</w:t>
      </w:r>
      <w:r w:rsidRPr="007325AF">
        <w:rPr>
          <w:b/>
          <w:bCs/>
        </w:rPr>
        <w:t xml:space="preserve"> </w:t>
      </w:r>
      <w:r w:rsidR="007325AF" w:rsidRPr="007325AF">
        <w:rPr>
          <w:b/>
          <w:bCs/>
        </w:rPr>
        <w:t xml:space="preserve">277.212.285,00 EUR </w:t>
      </w:r>
      <w:r w:rsidRPr="00EC2687">
        <w:t>od čega je 5</w:t>
      </w:r>
      <w:r w:rsidR="00705DD7" w:rsidRPr="00EC2687">
        <w:t xml:space="preserve"> </w:t>
      </w:r>
      <w:r w:rsidRPr="00EC2687">
        <w:t>% utrošeno na administriranje sustava u iznosu</w:t>
      </w:r>
      <w:r w:rsidRPr="007325AF">
        <w:rPr>
          <w:b/>
          <w:bCs/>
        </w:rPr>
        <w:t xml:space="preserve"> </w:t>
      </w:r>
      <w:r w:rsidR="00034C77">
        <w:rPr>
          <w:b/>
          <w:bCs/>
        </w:rPr>
        <w:t xml:space="preserve">od </w:t>
      </w:r>
      <w:r w:rsidR="007325AF" w:rsidRPr="007325AF">
        <w:rPr>
          <w:b/>
          <w:bCs/>
        </w:rPr>
        <w:t>13.860.614,25 EUR</w:t>
      </w:r>
      <w:r w:rsidRPr="007325AF">
        <w:rPr>
          <w:rFonts w:eastAsia="Times New Roman"/>
          <w:b/>
          <w:bCs/>
          <w:color w:val="000000"/>
          <w:lang w:eastAsia="hr-HR"/>
        </w:rPr>
        <w:t xml:space="preserve">, a </w:t>
      </w:r>
      <w:r w:rsidR="007325AF" w:rsidRPr="007325AF">
        <w:rPr>
          <w:rFonts w:eastAsia="Times New Roman"/>
          <w:b/>
          <w:bCs/>
          <w:color w:val="000000"/>
          <w:lang w:eastAsia="hr-HR"/>
        </w:rPr>
        <w:t xml:space="preserve">263.351.670,75 EUR </w:t>
      </w:r>
      <w:r w:rsidR="00034C77">
        <w:rPr>
          <w:rFonts w:eastAsia="Times New Roman"/>
          <w:color w:val="000000"/>
          <w:lang w:eastAsia="hr-HR"/>
        </w:rPr>
        <w:t xml:space="preserve">je namijenjeno za korištenje u skladu s </w:t>
      </w:r>
      <w:r w:rsidR="00EC2687">
        <w:rPr>
          <w:rFonts w:eastAsia="Times New Roman"/>
          <w:color w:val="000000"/>
          <w:lang w:eastAsia="hr-HR"/>
        </w:rPr>
        <w:t>Plan</w:t>
      </w:r>
      <w:r w:rsidR="00034C77">
        <w:rPr>
          <w:rFonts w:eastAsia="Times New Roman"/>
          <w:color w:val="000000"/>
          <w:lang w:eastAsia="hr-HR"/>
        </w:rPr>
        <w:t>om</w:t>
      </w:r>
      <w:r w:rsidR="00EC2687">
        <w:rPr>
          <w:rFonts w:eastAsia="Times New Roman"/>
          <w:color w:val="000000"/>
          <w:lang w:eastAsia="hr-HR"/>
        </w:rPr>
        <w:t xml:space="preserve"> II</w:t>
      </w:r>
      <w:r w:rsidRPr="00EC2687">
        <w:rPr>
          <w:rFonts w:eastAsia="Times New Roman"/>
          <w:color w:val="000000"/>
          <w:lang w:eastAsia="hr-HR"/>
        </w:rPr>
        <w:t>.</w:t>
      </w:r>
      <w:r w:rsidRPr="007325AF">
        <w:rPr>
          <w:rFonts w:eastAsia="Times New Roman"/>
          <w:b/>
          <w:bCs/>
          <w:color w:val="000000"/>
          <w:lang w:eastAsia="hr-HR"/>
        </w:rPr>
        <w:t xml:space="preserve"> </w:t>
      </w:r>
    </w:p>
    <w:p w14:paraId="2A69790A" w14:textId="77777777" w:rsidR="00034C77" w:rsidRDefault="00034C77" w:rsidP="00F86AA0">
      <w:pPr>
        <w:spacing w:before="60" w:after="60"/>
        <w:ind w:firstLine="709"/>
        <w:rPr>
          <w:rFonts w:eastAsia="Times New Roman"/>
          <w:b/>
          <w:bCs/>
          <w:color w:val="000000"/>
          <w:lang w:eastAsia="hr-HR"/>
        </w:rPr>
      </w:pPr>
    </w:p>
    <w:p w14:paraId="729BAC9F" w14:textId="465AFC93" w:rsidR="00DF23D5" w:rsidRPr="00AF22F4" w:rsidRDefault="00952BB6" w:rsidP="00F86AA0">
      <w:pPr>
        <w:spacing w:before="60" w:after="60"/>
        <w:ind w:firstLine="709"/>
        <w:rPr>
          <w:rFonts w:eastAsia="Times New Roman"/>
          <w:color w:val="000000"/>
          <w:lang w:eastAsia="hr-HR"/>
        </w:rPr>
      </w:pPr>
      <w:r w:rsidRPr="007325AF">
        <w:rPr>
          <w:rFonts w:eastAsia="Times New Roman"/>
          <w:b/>
          <w:bCs/>
          <w:color w:val="000000"/>
          <w:lang w:eastAsia="hr-HR"/>
        </w:rPr>
        <w:t>Na dan 31.</w:t>
      </w:r>
      <w:r w:rsidR="00705DD7">
        <w:rPr>
          <w:rFonts w:eastAsia="Times New Roman"/>
          <w:b/>
          <w:bCs/>
          <w:color w:val="000000"/>
          <w:lang w:eastAsia="hr-HR"/>
        </w:rPr>
        <w:t xml:space="preserve"> </w:t>
      </w:r>
      <w:r w:rsidRPr="007325AF">
        <w:rPr>
          <w:rFonts w:eastAsia="Times New Roman"/>
          <w:b/>
          <w:bCs/>
          <w:color w:val="000000"/>
          <w:lang w:eastAsia="hr-HR"/>
        </w:rPr>
        <w:t>12.</w:t>
      </w:r>
      <w:r w:rsidR="00705DD7">
        <w:rPr>
          <w:rFonts w:eastAsia="Times New Roman"/>
          <w:b/>
          <w:bCs/>
          <w:color w:val="000000"/>
          <w:lang w:eastAsia="hr-HR"/>
        </w:rPr>
        <w:t xml:space="preserve"> </w:t>
      </w:r>
      <w:r w:rsidRPr="007325AF">
        <w:rPr>
          <w:rFonts w:eastAsia="Times New Roman"/>
          <w:b/>
          <w:bCs/>
          <w:color w:val="000000"/>
          <w:lang w:eastAsia="hr-HR"/>
        </w:rPr>
        <w:t>202</w:t>
      </w:r>
      <w:r w:rsidR="007325AF" w:rsidRPr="007325AF">
        <w:rPr>
          <w:rFonts w:eastAsia="Times New Roman"/>
          <w:b/>
          <w:bCs/>
          <w:color w:val="000000"/>
          <w:lang w:eastAsia="hr-HR"/>
        </w:rPr>
        <w:t>4</w:t>
      </w:r>
      <w:r w:rsidRPr="007325AF">
        <w:rPr>
          <w:rFonts w:eastAsia="Times New Roman"/>
          <w:b/>
          <w:bCs/>
          <w:color w:val="000000"/>
          <w:lang w:eastAsia="hr-HR"/>
        </w:rPr>
        <w:t xml:space="preserve">. realizacija (isplaćeno) </w:t>
      </w:r>
      <w:r w:rsidR="00034C77">
        <w:rPr>
          <w:rFonts w:eastAsia="Times New Roman"/>
          <w:b/>
          <w:bCs/>
          <w:color w:val="000000"/>
          <w:lang w:eastAsia="hr-HR"/>
        </w:rPr>
        <w:t xml:space="preserve">sredstava za razdoblje </w:t>
      </w:r>
      <w:r w:rsidRPr="007325AF">
        <w:rPr>
          <w:rFonts w:eastAsia="Times New Roman"/>
          <w:b/>
          <w:bCs/>
          <w:color w:val="000000"/>
          <w:lang w:eastAsia="hr-HR"/>
        </w:rPr>
        <w:t>202</w:t>
      </w:r>
      <w:r w:rsidR="007325AF" w:rsidRPr="007325AF">
        <w:rPr>
          <w:rFonts w:eastAsia="Times New Roman"/>
          <w:b/>
          <w:bCs/>
          <w:color w:val="000000"/>
          <w:lang w:eastAsia="hr-HR"/>
        </w:rPr>
        <w:t>3</w:t>
      </w:r>
      <w:r w:rsidRPr="007325AF">
        <w:rPr>
          <w:rFonts w:eastAsia="Times New Roman"/>
          <w:b/>
          <w:bCs/>
          <w:color w:val="000000"/>
          <w:lang w:eastAsia="hr-HR"/>
        </w:rPr>
        <w:t>.</w:t>
      </w:r>
      <w:r w:rsidR="00705DD7">
        <w:rPr>
          <w:rFonts w:eastAsia="Times New Roman"/>
          <w:b/>
          <w:bCs/>
          <w:color w:val="000000"/>
          <w:lang w:eastAsia="hr-HR"/>
        </w:rPr>
        <w:t xml:space="preserve"> </w:t>
      </w:r>
      <w:r w:rsidRPr="007325AF">
        <w:rPr>
          <w:rFonts w:eastAsia="Times New Roman"/>
          <w:b/>
          <w:bCs/>
          <w:color w:val="000000"/>
          <w:lang w:eastAsia="hr-HR"/>
        </w:rPr>
        <w:t>-</w:t>
      </w:r>
      <w:r w:rsidR="00705DD7">
        <w:rPr>
          <w:rFonts w:eastAsia="Times New Roman"/>
          <w:b/>
          <w:bCs/>
          <w:color w:val="000000"/>
          <w:lang w:eastAsia="hr-HR"/>
        </w:rPr>
        <w:t xml:space="preserve"> </w:t>
      </w:r>
      <w:r w:rsidRPr="007325AF">
        <w:rPr>
          <w:rFonts w:eastAsia="Times New Roman"/>
          <w:b/>
          <w:bCs/>
          <w:color w:val="000000"/>
          <w:lang w:eastAsia="hr-HR"/>
        </w:rPr>
        <w:t>202</w:t>
      </w:r>
      <w:r w:rsidR="007325AF" w:rsidRPr="007325AF">
        <w:rPr>
          <w:rFonts w:eastAsia="Times New Roman"/>
          <w:b/>
          <w:bCs/>
          <w:color w:val="000000"/>
          <w:lang w:eastAsia="hr-HR"/>
        </w:rPr>
        <w:t>4</w:t>
      </w:r>
      <w:r w:rsidRPr="007325AF">
        <w:rPr>
          <w:rFonts w:eastAsia="Times New Roman"/>
          <w:b/>
          <w:bCs/>
          <w:color w:val="000000"/>
          <w:lang w:eastAsia="hr-HR"/>
        </w:rPr>
        <w:t xml:space="preserve">. </w:t>
      </w:r>
      <w:r w:rsidR="00EC2687">
        <w:rPr>
          <w:rFonts w:eastAsia="Times New Roman"/>
          <w:b/>
          <w:bCs/>
          <w:color w:val="000000"/>
          <w:lang w:eastAsia="hr-HR"/>
        </w:rPr>
        <w:t xml:space="preserve">iznosila </w:t>
      </w:r>
      <w:r w:rsidRPr="007325AF">
        <w:rPr>
          <w:rFonts w:eastAsia="Times New Roman"/>
          <w:b/>
          <w:bCs/>
          <w:color w:val="000000"/>
          <w:lang w:eastAsia="hr-HR"/>
        </w:rPr>
        <w:t xml:space="preserve">je </w:t>
      </w:r>
      <w:r w:rsidR="007325AF" w:rsidRPr="007325AF">
        <w:rPr>
          <w:rFonts w:eastAsia="Times New Roman"/>
          <w:b/>
          <w:bCs/>
          <w:color w:val="000000"/>
          <w:lang w:eastAsia="hr-HR"/>
        </w:rPr>
        <w:t>245.282.422,69 EUR</w:t>
      </w:r>
      <w:r w:rsidRPr="007325AF">
        <w:rPr>
          <w:rFonts w:eastAsia="Times New Roman"/>
          <w:b/>
          <w:bCs/>
          <w:color w:val="000000"/>
          <w:lang w:eastAsia="hr-HR"/>
        </w:rPr>
        <w:t xml:space="preserve"> </w:t>
      </w:r>
      <w:r w:rsidRPr="00AF22F4">
        <w:rPr>
          <w:rFonts w:eastAsia="Times New Roman"/>
          <w:color w:val="000000"/>
          <w:lang w:eastAsia="hr-HR"/>
        </w:rPr>
        <w:t xml:space="preserve">o čemu je detaljno izvješteno u </w:t>
      </w:r>
      <w:r w:rsidR="00705DD7" w:rsidRPr="00AF22F4">
        <w:rPr>
          <w:rFonts w:eastAsia="Times New Roman"/>
          <w:color w:val="000000"/>
          <w:lang w:eastAsia="hr-HR"/>
        </w:rPr>
        <w:t xml:space="preserve">poglavlju </w:t>
      </w:r>
      <w:r w:rsidR="00F86AA0" w:rsidRPr="00AF22F4">
        <w:rPr>
          <w:rFonts w:eastAsia="Times New Roman"/>
          <w:color w:val="000000"/>
          <w:lang w:eastAsia="hr-HR"/>
        </w:rPr>
        <w:t>4</w:t>
      </w:r>
      <w:r w:rsidR="00705DD7" w:rsidRPr="00AF22F4">
        <w:rPr>
          <w:rFonts w:eastAsia="Times New Roman"/>
          <w:color w:val="000000"/>
          <w:lang w:eastAsia="hr-HR"/>
        </w:rPr>
        <w:t xml:space="preserve">. </w:t>
      </w:r>
      <w:r w:rsidR="00F86AA0" w:rsidRPr="00AF22F4">
        <w:rPr>
          <w:rFonts w:eastAsia="Times New Roman"/>
          <w:color w:val="000000"/>
          <w:lang w:eastAsia="hr-HR"/>
        </w:rPr>
        <w:t>Plan korištenja financijskih sredstava dobivenih od prodaje emisijskih jedinica putem dražbi u Republici Hrvatskoj od 2021. do 2025. godine – Plan II</w:t>
      </w:r>
      <w:r w:rsidRPr="00AF22F4">
        <w:rPr>
          <w:rFonts w:eastAsia="Times New Roman"/>
          <w:color w:val="000000"/>
          <w:lang w:eastAsia="hr-HR"/>
        </w:rPr>
        <w:t>.</w:t>
      </w:r>
    </w:p>
    <w:p w14:paraId="2A012C2C" w14:textId="77777777" w:rsidR="00DF23D5" w:rsidRDefault="00DF23D5" w:rsidP="00952BB6">
      <w:pPr>
        <w:spacing w:before="60" w:after="60"/>
        <w:rPr>
          <w:rFonts w:eastAsia="Times New Roman"/>
          <w:lang w:eastAsia="hr-HR"/>
        </w:rPr>
      </w:pPr>
    </w:p>
    <w:p w14:paraId="7CDFD682" w14:textId="7037A761" w:rsidR="00952BB6" w:rsidRPr="007325AF" w:rsidRDefault="00952BB6" w:rsidP="00034C77">
      <w:pPr>
        <w:spacing w:before="60" w:after="60"/>
        <w:ind w:firstLine="709"/>
        <w:rPr>
          <w:rFonts w:eastAsia="Times New Roman"/>
          <w:strike/>
          <w:lang w:eastAsia="hr-HR"/>
        </w:rPr>
        <w:sectPr w:rsidR="00952BB6" w:rsidRPr="007325AF" w:rsidSect="00952BB6">
          <w:headerReference w:type="default" r:id="rId18"/>
          <w:footerReference w:type="default" r:id="rId19"/>
          <w:pgSz w:w="11906" w:h="16838"/>
          <w:pgMar w:top="1417" w:right="1417" w:bottom="1417" w:left="1417" w:header="708" w:footer="708" w:gutter="0"/>
          <w:cols w:space="708"/>
          <w:docGrid w:linePitch="360"/>
        </w:sectPr>
      </w:pPr>
      <w:r w:rsidRPr="007325AF">
        <w:rPr>
          <w:rFonts w:eastAsia="Times New Roman"/>
          <w:lang w:eastAsia="hr-HR"/>
        </w:rPr>
        <w:t xml:space="preserve">U </w:t>
      </w:r>
      <w:r w:rsidRPr="007325AF">
        <w:rPr>
          <w:b/>
          <w:i/>
        </w:rPr>
        <w:t>Prilogu 3.</w:t>
      </w:r>
      <w:r w:rsidRPr="007325AF">
        <w:t xml:space="preserve"> ovoga Izvješća prikaz</w:t>
      </w:r>
      <w:r w:rsidR="009857FF">
        <w:t>ane su</w:t>
      </w:r>
      <w:r w:rsidRPr="007325AF">
        <w:t xml:space="preserve"> </w:t>
      </w:r>
      <w:r w:rsidR="00F86AA0">
        <w:t>raspodjela sredstava</w:t>
      </w:r>
      <w:r w:rsidRPr="007325AF">
        <w:t xml:space="preserve"> i ukupne realizacije sredstava za 202</w:t>
      </w:r>
      <w:r w:rsidR="007325AF" w:rsidRPr="007325AF">
        <w:t>3</w:t>
      </w:r>
      <w:r w:rsidRPr="007325AF">
        <w:t>. i 202</w:t>
      </w:r>
      <w:r w:rsidR="007325AF" w:rsidRPr="007325AF">
        <w:t>4</w:t>
      </w:r>
      <w:r w:rsidRPr="007325AF">
        <w:t>. sukladno Planu II</w:t>
      </w:r>
      <w:r w:rsidR="009857FF">
        <w:t>.</w:t>
      </w:r>
      <w:r w:rsidRPr="007325AF">
        <w:t xml:space="preserve">, a u </w:t>
      </w:r>
      <w:r w:rsidRPr="007325AF">
        <w:rPr>
          <w:b/>
          <w:bCs/>
          <w:i/>
          <w:iCs/>
        </w:rPr>
        <w:t>Prilogu 4.</w:t>
      </w:r>
      <w:r w:rsidR="009857FF">
        <w:rPr>
          <w:b/>
          <w:bCs/>
          <w:i/>
          <w:iCs/>
        </w:rPr>
        <w:t xml:space="preserve"> </w:t>
      </w:r>
      <w:r w:rsidR="009857FF">
        <w:t xml:space="preserve">prikazani su </w:t>
      </w:r>
      <w:r w:rsidR="00EC2687">
        <w:t xml:space="preserve">ukupni </w:t>
      </w:r>
      <w:r w:rsidR="009857FF">
        <w:t>p</w:t>
      </w:r>
      <w:r w:rsidRPr="007325AF">
        <w:t xml:space="preserve">rihodi </w:t>
      </w:r>
      <w:r w:rsidR="00EC2687">
        <w:t xml:space="preserve">u razdoblju 2021. – 2024. </w:t>
      </w:r>
    </w:p>
    <w:p w14:paraId="3A02E421" w14:textId="77777777" w:rsidR="00C228B7" w:rsidRPr="00174A96" w:rsidRDefault="00C228B7" w:rsidP="00C228B7">
      <w:pPr>
        <w:spacing w:after="0" w:line="240" w:lineRule="auto"/>
        <w:rPr>
          <w:b/>
        </w:rPr>
      </w:pPr>
      <w:r w:rsidRPr="00174A96">
        <w:rPr>
          <w:b/>
          <w:i/>
        </w:rPr>
        <w:lastRenderedPageBreak/>
        <w:t xml:space="preserve">Prilog 1. </w:t>
      </w:r>
      <w:r w:rsidRPr="00174A96">
        <w:rPr>
          <w:b/>
        </w:rPr>
        <w:t xml:space="preserve">– Prikaz </w:t>
      </w:r>
      <w:r>
        <w:rPr>
          <w:b/>
        </w:rPr>
        <w:t>planirane raspodjele sredstava</w:t>
      </w:r>
      <w:r w:rsidRPr="00174A96">
        <w:rPr>
          <w:b/>
        </w:rPr>
        <w:t xml:space="preserve"> i ukupne realizacije sredstava po godinama i mjeram</w:t>
      </w:r>
      <w:r>
        <w:rPr>
          <w:b/>
        </w:rPr>
        <w:t>a iz Plana I.</w:t>
      </w:r>
    </w:p>
    <w:p w14:paraId="1BF68634" w14:textId="77777777" w:rsidR="00C228B7" w:rsidRPr="00174A96" w:rsidRDefault="00C228B7" w:rsidP="00C228B7">
      <w:pPr>
        <w:spacing w:after="0" w:line="240" w:lineRule="auto"/>
        <w:rPr>
          <w:b/>
        </w:rPr>
      </w:pPr>
    </w:p>
    <w:p w14:paraId="5B8745EA" w14:textId="77777777" w:rsidR="00C228B7" w:rsidRDefault="00C228B7" w:rsidP="00C228B7"/>
    <w:tbl>
      <w:tblPr>
        <w:tblW w:w="20543" w:type="dxa"/>
        <w:jc w:val="center"/>
        <w:tblLook w:val="04A0" w:firstRow="1" w:lastRow="0" w:firstColumn="1" w:lastColumn="0" w:noHBand="0" w:noVBand="1"/>
      </w:tblPr>
      <w:tblGrid>
        <w:gridCol w:w="950"/>
        <w:gridCol w:w="2868"/>
        <w:gridCol w:w="1417"/>
        <w:gridCol w:w="1172"/>
        <w:gridCol w:w="1805"/>
        <w:gridCol w:w="1701"/>
        <w:gridCol w:w="1503"/>
        <w:gridCol w:w="2182"/>
        <w:gridCol w:w="2127"/>
        <w:gridCol w:w="2409"/>
        <w:gridCol w:w="2409"/>
      </w:tblGrid>
      <w:tr w:rsidR="00C228B7" w:rsidRPr="00C05021" w14:paraId="2807BA12" w14:textId="77777777" w:rsidTr="00106C4F">
        <w:trPr>
          <w:trHeight w:val="1440"/>
          <w:jc w:val="center"/>
        </w:trPr>
        <w:tc>
          <w:tcPr>
            <w:tcW w:w="950" w:type="dxa"/>
            <w:tcBorders>
              <w:top w:val="single" w:sz="8" w:space="0" w:color="auto"/>
              <w:left w:val="single" w:sz="8" w:space="0" w:color="auto"/>
              <w:bottom w:val="single" w:sz="8" w:space="0" w:color="000000"/>
              <w:right w:val="single" w:sz="8" w:space="0" w:color="auto"/>
            </w:tcBorders>
            <w:shd w:val="clear" w:color="000000" w:fill="9BC2E6"/>
            <w:vAlign w:val="center"/>
            <w:hideMark/>
          </w:tcPr>
          <w:p w14:paraId="6F9217B8"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Oznaka mjere</w:t>
            </w:r>
          </w:p>
        </w:tc>
        <w:tc>
          <w:tcPr>
            <w:tcW w:w="2868" w:type="dxa"/>
            <w:tcBorders>
              <w:top w:val="single" w:sz="8" w:space="0" w:color="auto"/>
              <w:left w:val="single" w:sz="8" w:space="0" w:color="auto"/>
              <w:bottom w:val="single" w:sz="8" w:space="0" w:color="000000"/>
              <w:right w:val="double" w:sz="6" w:space="0" w:color="auto"/>
            </w:tcBorders>
            <w:shd w:val="clear" w:color="000000" w:fill="9BC2E6"/>
            <w:vAlign w:val="center"/>
            <w:hideMark/>
          </w:tcPr>
          <w:p w14:paraId="52A4D565"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PRIORITETNA MJERA</w:t>
            </w:r>
          </w:p>
        </w:tc>
        <w:tc>
          <w:tcPr>
            <w:tcW w:w="1417" w:type="dxa"/>
            <w:tcBorders>
              <w:top w:val="single" w:sz="8" w:space="0" w:color="auto"/>
              <w:left w:val="double" w:sz="6" w:space="0" w:color="auto"/>
              <w:right w:val="single" w:sz="8" w:space="0" w:color="auto"/>
            </w:tcBorders>
            <w:shd w:val="clear" w:color="000000" w:fill="9BC2E6"/>
            <w:vAlign w:val="center"/>
            <w:hideMark/>
          </w:tcPr>
          <w:p w14:paraId="189B5EBB" w14:textId="77777777" w:rsidR="00C228B7" w:rsidRPr="00C05021" w:rsidRDefault="00C228B7" w:rsidP="00106C4F">
            <w:pPr>
              <w:spacing w:after="0" w:line="240" w:lineRule="auto"/>
              <w:jc w:val="center"/>
              <w:rPr>
                <w:rFonts w:eastAsia="Times New Roman"/>
                <w:b/>
                <w:bCs/>
                <w:color w:val="000000"/>
                <w:sz w:val="20"/>
                <w:szCs w:val="20"/>
                <w:lang w:eastAsia="hr-HR"/>
              </w:rPr>
            </w:pPr>
            <w:r>
              <w:rPr>
                <w:rFonts w:eastAsia="Times New Roman"/>
                <w:b/>
                <w:bCs/>
                <w:color w:val="000000"/>
                <w:sz w:val="20"/>
                <w:szCs w:val="20"/>
                <w:lang w:eastAsia="hr-HR"/>
              </w:rPr>
              <w:t>Planirana raspodjela</w:t>
            </w:r>
          </w:p>
          <w:p w14:paraId="1B8DFA03"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[EUR]</w:t>
            </w:r>
          </w:p>
        </w:tc>
        <w:tc>
          <w:tcPr>
            <w:tcW w:w="1172" w:type="dxa"/>
            <w:tcBorders>
              <w:top w:val="single" w:sz="8" w:space="0" w:color="auto"/>
              <w:left w:val="single" w:sz="8" w:space="0" w:color="auto"/>
              <w:right w:val="single" w:sz="8" w:space="0" w:color="auto"/>
            </w:tcBorders>
            <w:shd w:val="clear" w:color="000000" w:fill="9BC2E6"/>
            <w:vAlign w:val="center"/>
            <w:hideMark/>
          </w:tcPr>
          <w:p w14:paraId="30BD02E8"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Predložena postotna raspodjela</w:t>
            </w:r>
          </w:p>
          <w:p w14:paraId="5E255280"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w:t>
            </w:r>
          </w:p>
        </w:tc>
        <w:tc>
          <w:tcPr>
            <w:tcW w:w="1805" w:type="dxa"/>
            <w:tcBorders>
              <w:top w:val="single" w:sz="8" w:space="0" w:color="auto"/>
              <w:left w:val="single" w:sz="8" w:space="0" w:color="auto"/>
              <w:right w:val="single" w:sz="8" w:space="0" w:color="auto"/>
            </w:tcBorders>
            <w:shd w:val="clear" w:color="000000" w:fill="9BC2E6"/>
            <w:vAlign w:val="center"/>
            <w:hideMark/>
          </w:tcPr>
          <w:p w14:paraId="58DAD8A2"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Ukupno kumulativno financiranje do 2020. nakon preraspodjele</w:t>
            </w:r>
          </w:p>
          <w:p w14:paraId="5EB59A6A"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[EUR]</w:t>
            </w:r>
          </w:p>
        </w:tc>
        <w:tc>
          <w:tcPr>
            <w:tcW w:w="1701" w:type="dxa"/>
            <w:tcBorders>
              <w:top w:val="single" w:sz="8" w:space="0" w:color="auto"/>
              <w:left w:val="single" w:sz="8" w:space="0" w:color="auto"/>
              <w:right w:val="single" w:sz="8" w:space="0" w:color="auto"/>
            </w:tcBorders>
            <w:shd w:val="clear" w:color="000000" w:fill="9BC2E6"/>
            <w:vAlign w:val="center"/>
            <w:hideMark/>
          </w:tcPr>
          <w:p w14:paraId="77F1ACFF"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Ukupno preuzeto (ugovoreno) po Planu</w:t>
            </w:r>
          </w:p>
          <w:p w14:paraId="0D86A056"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[EUR]</w:t>
            </w:r>
          </w:p>
        </w:tc>
        <w:tc>
          <w:tcPr>
            <w:tcW w:w="1503" w:type="dxa"/>
            <w:tcBorders>
              <w:top w:val="single" w:sz="8" w:space="0" w:color="auto"/>
              <w:left w:val="nil"/>
              <w:bottom w:val="nil"/>
              <w:right w:val="single" w:sz="4" w:space="0" w:color="auto"/>
            </w:tcBorders>
            <w:shd w:val="clear" w:color="auto" w:fill="9BC2E6"/>
            <w:vAlign w:val="center"/>
            <w:hideMark/>
          </w:tcPr>
          <w:p w14:paraId="00C1B3BA"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Realizacija</w:t>
            </w:r>
          </w:p>
          <w:p w14:paraId="221887B1"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2017. - 2023. (isplaćeno)</w:t>
            </w:r>
          </w:p>
          <w:p w14:paraId="221A4FB8"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[EUR]</w:t>
            </w:r>
          </w:p>
        </w:tc>
        <w:tc>
          <w:tcPr>
            <w:tcW w:w="2182" w:type="dxa"/>
            <w:vMerge w:val="restart"/>
            <w:tcBorders>
              <w:top w:val="single" w:sz="4" w:space="0" w:color="auto"/>
              <w:left w:val="single" w:sz="4" w:space="0" w:color="auto"/>
              <w:right w:val="single" w:sz="4" w:space="0" w:color="auto"/>
            </w:tcBorders>
            <w:shd w:val="clear" w:color="auto" w:fill="9BC2E6"/>
            <w:vAlign w:val="center"/>
          </w:tcPr>
          <w:p w14:paraId="66711095" w14:textId="77777777" w:rsidR="00C228B7" w:rsidRDefault="00C228B7" w:rsidP="00106C4F">
            <w:pPr>
              <w:spacing w:after="0" w:line="240" w:lineRule="auto"/>
              <w:jc w:val="center"/>
              <w:rPr>
                <w:rFonts w:eastAsia="Times New Roman"/>
                <w:b/>
                <w:bCs/>
                <w:color w:val="000000"/>
                <w:sz w:val="20"/>
                <w:szCs w:val="20"/>
                <w:lang w:eastAsia="hr-HR"/>
              </w:rPr>
            </w:pPr>
          </w:p>
          <w:p w14:paraId="1A96184F" w14:textId="77777777" w:rsidR="00C228B7" w:rsidRDefault="00C228B7" w:rsidP="00106C4F">
            <w:pPr>
              <w:spacing w:after="0" w:line="240" w:lineRule="auto"/>
              <w:jc w:val="center"/>
              <w:rPr>
                <w:rFonts w:eastAsia="Times New Roman"/>
                <w:b/>
                <w:bCs/>
                <w:color w:val="000000"/>
                <w:sz w:val="20"/>
                <w:szCs w:val="20"/>
                <w:lang w:eastAsia="hr-HR"/>
              </w:rPr>
            </w:pPr>
          </w:p>
          <w:p w14:paraId="0B2F4759"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 xml:space="preserve">Realizacija </w:t>
            </w:r>
          </w:p>
          <w:p w14:paraId="2FD0E119"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202</w:t>
            </w:r>
            <w:r>
              <w:rPr>
                <w:rFonts w:eastAsia="Times New Roman"/>
                <w:b/>
                <w:bCs/>
                <w:color w:val="000000"/>
                <w:sz w:val="20"/>
                <w:szCs w:val="20"/>
                <w:lang w:eastAsia="hr-HR"/>
              </w:rPr>
              <w:t>3</w:t>
            </w:r>
            <w:r w:rsidRPr="00C05021">
              <w:rPr>
                <w:rFonts w:eastAsia="Times New Roman"/>
                <w:b/>
                <w:bCs/>
                <w:color w:val="000000"/>
                <w:sz w:val="20"/>
                <w:szCs w:val="20"/>
                <w:lang w:eastAsia="hr-HR"/>
              </w:rPr>
              <w:t>.</w:t>
            </w:r>
          </w:p>
          <w:p w14:paraId="7B5845A9" w14:textId="77777777" w:rsidR="00C228B7"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[EUR]</w:t>
            </w:r>
          </w:p>
          <w:p w14:paraId="04754C79" w14:textId="77777777" w:rsidR="00C228B7" w:rsidRDefault="00C228B7" w:rsidP="00106C4F">
            <w:pPr>
              <w:spacing w:after="0" w:line="240" w:lineRule="auto"/>
              <w:jc w:val="center"/>
              <w:rPr>
                <w:rFonts w:eastAsia="Times New Roman"/>
                <w:b/>
                <w:bCs/>
                <w:color w:val="000000"/>
                <w:sz w:val="20"/>
                <w:szCs w:val="20"/>
                <w:lang w:eastAsia="hr-HR"/>
              </w:rPr>
            </w:pPr>
          </w:p>
          <w:p w14:paraId="23037CF9" w14:textId="77777777" w:rsidR="00C228B7" w:rsidRDefault="00C228B7" w:rsidP="00106C4F">
            <w:pPr>
              <w:spacing w:after="0" w:line="240" w:lineRule="auto"/>
              <w:jc w:val="center"/>
              <w:rPr>
                <w:rFonts w:eastAsia="Times New Roman"/>
                <w:b/>
                <w:bCs/>
                <w:color w:val="000000"/>
                <w:sz w:val="20"/>
                <w:szCs w:val="20"/>
                <w:lang w:eastAsia="hr-HR"/>
              </w:rPr>
            </w:pPr>
          </w:p>
          <w:p w14:paraId="57DE2D14" w14:textId="77777777" w:rsidR="00C228B7" w:rsidRPr="00C05021" w:rsidRDefault="00C228B7" w:rsidP="00106C4F">
            <w:pPr>
              <w:spacing w:after="0" w:line="240" w:lineRule="auto"/>
              <w:jc w:val="center"/>
              <w:rPr>
                <w:rFonts w:eastAsia="Times New Roman"/>
                <w:b/>
                <w:bCs/>
                <w:color w:val="000000"/>
                <w:sz w:val="20"/>
                <w:szCs w:val="20"/>
                <w:lang w:eastAsia="hr-HR"/>
              </w:rPr>
            </w:pPr>
            <w:r>
              <w:rPr>
                <w:rFonts w:eastAsia="Times New Roman"/>
                <w:b/>
                <w:bCs/>
                <w:color w:val="000000"/>
                <w:sz w:val="20"/>
                <w:szCs w:val="20"/>
                <w:lang w:eastAsia="hr-HR"/>
              </w:rPr>
              <w:t>8</w:t>
            </w:r>
          </w:p>
        </w:tc>
        <w:tc>
          <w:tcPr>
            <w:tcW w:w="2127" w:type="dxa"/>
            <w:tcBorders>
              <w:top w:val="single" w:sz="8" w:space="0" w:color="auto"/>
              <w:left w:val="single" w:sz="4" w:space="0" w:color="auto"/>
              <w:bottom w:val="nil"/>
              <w:right w:val="single" w:sz="4" w:space="0" w:color="auto"/>
            </w:tcBorders>
            <w:shd w:val="clear" w:color="000000" w:fill="9BC2E6"/>
            <w:vAlign w:val="center"/>
            <w:hideMark/>
          </w:tcPr>
          <w:p w14:paraId="01744331" w14:textId="77777777" w:rsidR="00C228B7" w:rsidRDefault="00C228B7" w:rsidP="00106C4F">
            <w:pPr>
              <w:spacing w:after="0" w:line="240" w:lineRule="auto"/>
              <w:jc w:val="center"/>
              <w:rPr>
                <w:rFonts w:eastAsia="Times New Roman"/>
                <w:b/>
                <w:bCs/>
                <w:color w:val="000000"/>
                <w:sz w:val="20"/>
                <w:szCs w:val="20"/>
                <w:lang w:eastAsia="hr-HR"/>
              </w:rPr>
            </w:pPr>
          </w:p>
          <w:p w14:paraId="644269FE"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 xml:space="preserve">Realizacija </w:t>
            </w:r>
          </w:p>
          <w:p w14:paraId="62E92225"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2024.</w:t>
            </w:r>
          </w:p>
          <w:p w14:paraId="24CFC7D3"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[EUR]</w:t>
            </w:r>
          </w:p>
        </w:tc>
        <w:tc>
          <w:tcPr>
            <w:tcW w:w="2409" w:type="dxa"/>
            <w:vMerge w:val="restart"/>
            <w:tcBorders>
              <w:top w:val="single" w:sz="4" w:space="0" w:color="auto"/>
              <w:left w:val="single" w:sz="4" w:space="0" w:color="auto"/>
              <w:right w:val="single" w:sz="4" w:space="0" w:color="auto"/>
            </w:tcBorders>
            <w:shd w:val="clear" w:color="auto" w:fill="9BC2E6"/>
          </w:tcPr>
          <w:p w14:paraId="5231B016" w14:textId="77777777" w:rsidR="00C228B7" w:rsidRDefault="00C228B7" w:rsidP="00106C4F">
            <w:pPr>
              <w:spacing w:after="0" w:line="240" w:lineRule="auto"/>
              <w:jc w:val="center"/>
              <w:rPr>
                <w:rFonts w:eastAsia="Times New Roman"/>
                <w:b/>
                <w:bCs/>
                <w:color w:val="000000"/>
                <w:sz w:val="20"/>
                <w:szCs w:val="20"/>
                <w:lang w:eastAsia="hr-HR"/>
              </w:rPr>
            </w:pPr>
          </w:p>
          <w:p w14:paraId="573D0BF1" w14:textId="77777777" w:rsidR="00C228B7" w:rsidRDefault="00C228B7" w:rsidP="00106C4F">
            <w:pPr>
              <w:spacing w:after="0" w:line="240" w:lineRule="auto"/>
              <w:jc w:val="center"/>
              <w:rPr>
                <w:rFonts w:eastAsia="Times New Roman"/>
                <w:b/>
                <w:bCs/>
                <w:color w:val="000000"/>
                <w:sz w:val="20"/>
                <w:szCs w:val="20"/>
                <w:lang w:eastAsia="hr-HR"/>
              </w:rPr>
            </w:pPr>
          </w:p>
          <w:p w14:paraId="5BFFEF1F"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Realizacija</w:t>
            </w:r>
          </w:p>
          <w:p w14:paraId="0485588C" w14:textId="77777777" w:rsidR="00C228B7" w:rsidRDefault="00C228B7" w:rsidP="00106C4F">
            <w:pPr>
              <w:spacing w:after="0" w:line="240" w:lineRule="auto"/>
              <w:jc w:val="center"/>
              <w:rPr>
                <w:rFonts w:eastAsia="Times New Roman"/>
                <w:b/>
                <w:bCs/>
                <w:color w:val="000000"/>
                <w:sz w:val="20"/>
                <w:szCs w:val="20"/>
                <w:lang w:eastAsia="hr-HR"/>
              </w:rPr>
            </w:pPr>
            <w:r>
              <w:rPr>
                <w:rFonts w:eastAsia="Times New Roman"/>
                <w:b/>
                <w:bCs/>
                <w:color w:val="000000"/>
                <w:sz w:val="20"/>
                <w:szCs w:val="20"/>
                <w:lang w:eastAsia="hr-HR"/>
              </w:rPr>
              <w:t>2023</w:t>
            </w:r>
            <w:r w:rsidRPr="00C05021">
              <w:rPr>
                <w:rFonts w:eastAsia="Times New Roman"/>
                <w:b/>
                <w:bCs/>
                <w:color w:val="000000"/>
                <w:sz w:val="20"/>
                <w:szCs w:val="20"/>
                <w:lang w:eastAsia="hr-HR"/>
              </w:rPr>
              <w:t xml:space="preserve">. - 2024. </w:t>
            </w:r>
          </w:p>
          <w:p w14:paraId="0AA2B600"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(isplaćeno)</w:t>
            </w:r>
          </w:p>
          <w:p w14:paraId="1F2CC7E3"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[EUR]</w:t>
            </w:r>
          </w:p>
        </w:tc>
        <w:tc>
          <w:tcPr>
            <w:tcW w:w="2409" w:type="dxa"/>
            <w:tcBorders>
              <w:top w:val="single" w:sz="8" w:space="0" w:color="auto"/>
              <w:left w:val="single" w:sz="4" w:space="0" w:color="auto"/>
              <w:bottom w:val="nil"/>
              <w:right w:val="single" w:sz="8" w:space="0" w:color="auto"/>
            </w:tcBorders>
            <w:shd w:val="clear" w:color="000000" w:fill="9BC2E6"/>
            <w:vAlign w:val="center"/>
            <w:hideMark/>
          </w:tcPr>
          <w:p w14:paraId="13FD178D"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Realizacija</w:t>
            </w:r>
          </w:p>
          <w:p w14:paraId="6F7D25A8"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2017. - 2024. (isplaćeno)</w:t>
            </w:r>
          </w:p>
          <w:p w14:paraId="2F1A8908"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[EUR]</w:t>
            </w:r>
          </w:p>
        </w:tc>
      </w:tr>
      <w:tr w:rsidR="00C228B7" w:rsidRPr="00C05021" w14:paraId="5C1D1ABA" w14:textId="77777777" w:rsidTr="00106C4F">
        <w:trPr>
          <w:trHeight w:val="270"/>
          <w:jc w:val="center"/>
        </w:trPr>
        <w:tc>
          <w:tcPr>
            <w:tcW w:w="950" w:type="dxa"/>
            <w:tcBorders>
              <w:top w:val="nil"/>
              <w:left w:val="single" w:sz="8" w:space="0" w:color="auto"/>
              <w:bottom w:val="nil"/>
              <w:right w:val="single" w:sz="8" w:space="0" w:color="auto"/>
            </w:tcBorders>
            <w:shd w:val="clear" w:color="000000" w:fill="9BC2E6"/>
            <w:vAlign w:val="center"/>
            <w:hideMark/>
          </w:tcPr>
          <w:p w14:paraId="4B7A06ED"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1</w:t>
            </w:r>
          </w:p>
        </w:tc>
        <w:tc>
          <w:tcPr>
            <w:tcW w:w="2868" w:type="dxa"/>
            <w:tcBorders>
              <w:top w:val="nil"/>
              <w:left w:val="nil"/>
              <w:bottom w:val="nil"/>
              <w:right w:val="double" w:sz="6" w:space="0" w:color="auto"/>
            </w:tcBorders>
            <w:shd w:val="clear" w:color="000000" w:fill="9BC2E6"/>
            <w:vAlign w:val="center"/>
            <w:hideMark/>
          </w:tcPr>
          <w:p w14:paraId="23688964"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2</w:t>
            </w:r>
          </w:p>
        </w:tc>
        <w:tc>
          <w:tcPr>
            <w:tcW w:w="1417" w:type="dxa"/>
            <w:tcBorders>
              <w:top w:val="nil"/>
              <w:left w:val="nil"/>
              <w:bottom w:val="nil"/>
              <w:right w:val="single" w:sz="8" w:space="0" w:color="auto"/>
            </w:tcBorders>
            <w:shd w:val="clear" w:color="000000" w:fill="9BC2E6"/>
            <w:vAlign w:val="center"/>
            <w:hideMark/>
          </w:tcPr>
          <w:p w14:paraId="7C6B8C41"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3</w:t>
            </w:r>
          </w:p>
        </w:tc>
        <w:tc>
          <w:tcPr>
            <w:tcW w:w="1172" w:type="dxa"/>
            <w:tcBorders>
              <w:top w:val="nil"/>
              <w:left w:val="nil"/>
              <w:bottom w:val="nil"/>
              <w:right w:val="single" w:sz="8" w:space="0" w:color="auto"/>
            </w:tcBorders>
            <w:shd w:val="clear" w:color="000000" w:fill="9BC2E6"/>
            <w:vAlign w:val="center"/>
            <w:hideMark/>
          </w:tcPr>
          <w:p w14:paraId="44F08C07"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4</w:t>
            </w:r>
          </w:p>
        </w:tc>
        <w:tc>
          <w:tcPr>
            <w:tcW w:w="1805" w:type="dxa"/>
            <w:tcBorders>
              <w:top w:val="nil"/>
              <w:left w:val="nil"/>
              <w:bottom w:val="nil"/>
              <w:right w:val="single" w:sz="8" w:space="0" w:color="auto"/>
            </w:tcBorders>
            <w:shd w:val="clear" w:color="000000" w:fill="9BC2E6"/>
            <w:vAlign w:val="center"/>
            <w:hideMark/>
          </w:tcPr>
          <w:p w14:paraId="5B38D078"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5</w:t>
            </w:r>
          </w:p>
        </w:tc>
        <w:tc>
          <w:tcPr>
            <w:tcW w:w="1701" w:type="dxa"/>
            <w:tcBorders>
              <w:top w:val="nil"/>
              <w:left w:val="nil"/>
              <w:bottom w:val="nil"/>
              <w:right w:val="single" w:sz="8" w:space="0" w:color="auto"/>
            </w:tcBorders>
            <w:shd w:val="clear" w:color="000000" w:fill="9BC2E6"/>
            <w:vAlign w:val="center"/>
            <w:hideMark/>
          </w:tcPr>
          <w:p w14:paraId="2DA262F6"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6</w:t>
            </w:r>
          </w:p>
        </w:tc>
        <w:tc>
          <w:tcPr>
            <w:tcW w:w="1503" w:type="dxa"/>
            <w:tcBorders>
              <w:top w:val="nil"/>
              <w:left w:val="nil"/>
              <w:bottom w:val="single" w:sz="8" w:space="0" w:color="auto"/>
              <w:right w:val="single" w:sz="4" w:space="0" w:color="auto"/>
            </w:tcBorders>
            <w:shd w:val="clear" w:color="000000" w:fill="9BC2E6"/>
            <w:vAlign w:val="center"/>
            <w:hideMark/>
          </w:tcPr>
          <w:p w14:paraId="49BB4943"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7</w:t>
            </w:r>
          </w:p>
        </w:tc>
        <w:tc>
          <w:tcPr>
            <w:tcW w:w="2182" w:type="dxa"/>
            <w:vMerge/>
            <w:tcBorders>
              <w:left w:val="single" w:sz="4" w:space="0" w:color="auto"/>
              <w:bottom w:val="single" w:sz="4" w:space="0" w:color="auto"/>
              <w:right w:val="single" w:sz="4" w:space="0" w:color="auto"/>
            </w:tcBorders>
            <w:shd w:val="clear" w:color="auto" w:fill="9BC2E6"/>
          </w:tcPr>
          <w:p w14:paraId="30F67DA3" w14:textId="77777777" w:rsidR="00C228B7" w:rsidRPr="00C05021" w:rsidRDefault="00C228B7" w:rsidP="00106C4F">
            <w:pPr>
              <w:spacing w:after="0" w:line="240" w:lineRule="auto"/>
              <w:jc w:val="center"/>
              <w:rPr>
                <w:rFonts w:eastAsia="Times New Roman"/>
                <w:b/>
                <w:bCs/>
                <w:color w:val="000000"/>
                <w:sz w:val="20"/>
                <w:szCs w:val="20"/>
                <w:lang w:eastAsia="hr-HR"/>
              </w:rPr>
            </w:pPr>
          </w:p>
        </w:tc>
        <w:tc>
          <w:tcPr>
            <w:tcW w:w="2127" w:type="dxa"/>
            <w:tcBorders>
              <w:top w:val="nil"/>
              <w:left w:val="single" w:sz="4" w:space="0" w:color="auto"/>
              <w:bottom w:val="single" w:sz="8" w:space="0" w:color="auto"/>
              <w:right w:val="single" w:sz="4" w:space="0" w:color="auto"/>
            </w:tcBorders>
            <w:shd w:val="clear" w:color="000000" w:fill="9BC2E6"/>
            <w:vAlign w:val="center"/>
            <w:hideMark/>
          </w:tcPr>
          <w:p w14:paraId="7B3E9813" w14:textId="77777777" w:rsidR="00C228B7" w:rsidRPr="00C05021" w:rsidRDefault="00C228B7" w:rsidP="00106C4F">
            <w:pPr>
              <w:spacing w:after="0" w:line="240" w:lineRule="auto"/>
              <w:jc w:val="center"/>
              <w:rPr>
                <w:rFonts w:eastAsia="Times New Roman"/>
                <w:b/>
                <w:bCs/>
                <w:color w:val="000000"/>
                <w:sz w:val="20"/>
                <w:szCs w:val="20"/>
                <w:lang w:eastAsia="hr-HR"/>
              </w:rPr>
            </w:pPr>
            <w:r>
              <w:rPr>
                <w:rFonts w:eastAsia="Times New Roman"/>
                <w:b/>
                <w:bCs/>
                <w:color w:val="000000"/>
                <w:sz w:val="20"/>
                <w:szCs w:val="20"/>
                <w:lang w:eastAsia="hr-HR"/>
              </w:rPr>
              <w:t>9</w:t>
            </w:r>
          </w:p>
        </w:tc>
        <w:tc>
          <w:tcPr>
            <w:tcW w:w="2409" w:type="dxa"/>
            <w:vMerge/>
            <w:tcBorders>
              <w:left w:val="single" w:sz="4" w:space="0" w:color="auto"/>
              <w:bottom w:val="single" w:sz="4" w:space="0" w:color="auto"/>
              <w:right w:val="single" w:sz="4" w:space="0" w:color="auto"/>
            </w:tcBorders>
            <w:shd w:val="clear" w:color="auto" w:fill="9BC2E6"/>
          </w:tcPr>
          <w:p w14:paraId="2B5D0425" w14:textId="77777777" w:rsidR="00C228B7" w:rsidRPr="00C05021" w:rsidRDefault="00C228B7" w:rsidP="00106C4F">
            <w:pPr>
              <w:spacing w:after="0" w:line="240" w:lineRule="auto"/>
              <w:jc w:val="center"/>
              <w:rPr>
                <w:rFonts w:eastAsia="Times New Roman"/>
                <w:b/>
                <w:bCs/>
                <w:color w:val="000000"/>
                <w:sz w:val="20"/>
                <w:szCs w:val="20"/>
                <w:lang w:eastAsia="hr-HR"/>
              </w:rPr>
            </w:pPr>
          </w:p>
        </w:tc>
        <w:tc>
          <w:tcPr>
            <w:tcW w:w="2409" w:type="dxa"/>
            <w:tcBorders>
              <w:top w:val="nil"/>
              <w:left w:val="single" w:sz="4" w:space="0" w:color="auto"/>
              <w:bottom w:val="single" w:sz="8" w:space="0" w:color="auto"/>
              <w:right w:val="single" w:sz="8" w:space="0" w:color="auto"/>
            </w:tcBorders>
            <w:shd w:val="clear" w:color="000000" w:fill="9BC2E6"/>
            <w:vAlign w:val="center"/>
            <w:hideMark/>
          </w:tcPr>
          <w:p w14:paraId="2A74C101"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9=7+8</w:t>
            </w:r>
          </w:p>
        </w:tc>
      </w:tr>
      <w:tr w:rsidR="00C228B7" w:rsidRPr="00C05021" w14:paraId="4ACD219E" w14:textId="77777777" w:rsidTr="00106C4F">
        <w:trPr>
          <w:trHeight w:val="270"/>
          <w:jc w:val="center"/>
        </w:trPr>
        <w:tc>
          <w:tcPr>
            <w:tcW w:w="95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639749D4"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OI</w:t>
            </w:r>
          </w:p>
        </w:tc>
        <w:tc>
          <w:tcPr>
            <w:tcW w:w="2868" w:type="dxa"/>
            <w:tcBorders>
              <w:top w:val="single" w:sz="8" w:space="0" w:color="auto"/>
              <w:left w:val="nil"/>
              <w:bottom w:val="single" w:sz="8" w:space="0" w:color="auto"/>
              <w:right w:val="single" w:sz="8" w:space="0" w:color="auto"/>
            </w:tcBorders>
            <w:shd w:val="clear" w:color="000000" w:fill="DDEBF7"/>
            <w:vAlign w:val="center"/>
            <w:hideMark/>
          </w:tcPr>
          <w:p w14:paraId="3DF8384F"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Obnovljivi izvori energije</w:t>
            </w:r>
          </w:p>
        </w:tc>
        <w:tc>
          <w:tcPr>
            <w:tcW w:w="1417" w:type="dxa"/>
            <w:tcBorders>
              <w:top w:val="single" w:sz="8" w:space="0" w:color="auto"/>
              <w:left w:val="nil"/>
              <w:bottom w:val="single" w:sz="8" w:space="0" w:color="auto"/>
              <w:right w:val="single" w:sz="8" w:space="0" w:color="auto"/>
            </w:tcBorders>
            <w:shd w:val="clear" w:color="000000" w:fill="DDEBF7"/>
            <w:noWrap/>
            <w:vAlign w:val="center"/>
            <w:hideMark/>
          </w:tcPr>
          <w:p w14:paraId="769516EC"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21.899.263</w:t>
            </w:r>
          </w:p>
        </w:tc>
        <w:tc>
          <w:tcPr>
            <w:tcW w:w="1172" w:type="dxa"/>
            <w:tcBorders>
              <w:top w:val="single" w:sz="8" w:space="0" w:color="auto"/>
              <w:left w:val="nil"/>
              <w:bottom w:val="single" w:sz="8" w:space="0" w:color="auto"/>
              <w:right w:val="single" w:sz="8" w:space="0" w:color="auto"/>
            </w:tcBorders>
            <w:vAlign w:val="center"/>
            <w:hideMark/>
          </w:tcPr>
          <w:p w14:paraId="509D4EF9"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10,93</w:t>
            </w:r>
            <w:r>
              <w:rPr>
                <w:rFonts w:eastAsia="Times New Roman"/>
                <w:color w:val="000000"/>
                <w:sz w:val="20"/>
                <w:szCs w:val="20"/>
                <w:lang w:eastAsia="hr-HR"/>
              </w:rPr>
              <w:t xml:space="preserve"> </w:t>
            </w:r>
            <w:r w:rsidRPr="00C05021">
              <w:rPr>
                <w:rFonts w:eastAsia="Times New Roman"/>
                <w:color w:val="000000"/>
                <w:sz w:val="20"/>
                <w:szCs w:val="20"/>
                <w:lang w:eastAsia="hr-HR"/>
              </w:rPr>
              <w:t>%</w:t>
            </w:r>
          </w:p>
        </w:tc>
        <w:tc>
          <w:tcPr>
            <w:tcW w:w="1805" w:type="dxa"/>
            <w:tcBorders>
              <w:top w:val="single" w:sz="8" w:space="0" w:color="auto"/>
              <w:left w:val="nil"/>
              <w:bottom w:val="single" w:sz="8" w:space="0" w:color="auto"/>
              <w:right w:val="single" w:sz="8" w:space="0" w:color="auto"/>
            </w:tcBorders>
            <w:noWrap/>
            <w:vAlign w:val="center"/>
            <w:hideMark/>
          </w:tcPr>
          <w:p w14:paraId="3DEB8E62"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19.244.807</w:t>
            </w:r>
          </w:p>
        </w:tc>
        <w:tc>
          <w:tcPr>
            <w:tcW w:w="1701" w:type="dxa"/>
            <w:tcBorders>
              <w:top w:val="single" w:sz="8" w:space="0" w:color="auto"/>
              <w:left w:val="nil"/>
              <w:bottom w:val="single" w:sz="8" w:space="0" w:color="auto"/>
              <w:right w:val="single" w:sz="8" w:space="0" w:color="auto"/>
            </w:tcBorders>
            <w:noWrap/>
            <w:vAlign w:val="center"/>
            <w:hideMark/>
          </w:tcPr>
          <w:p w14:paraId="10C21CF9"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21.982.40</w:t>
            </w:r>
            <w:r>
              <w:rPr>
                <w:rFonts w:eastAsia="Times New Roman"/>
                <w:color w:val="000000"/>
                <w:sz w:val="20"/>
                <w:szCs w:val="20"/>
                <w:lang w:eastAsia="hr-HR"/>
              </w:rPr>
              <w:t>4</w:t>
            </w:r>
          </w:p>
        </w:tc>
        <w:tc>
          <w:tcPr>
            <w:tcW w:w="1503" w:type="dxa"/>
            <w:tcBorders>
              <w:top w:val="nil"/>
              <w:left w:val="nil"/>
              <w:bottom w:val="single" w:sz="8" w:space="0" w:color="auto"/>
              <w:right w:val="single" w:sz="4" w:space="0" w:color="auto"/>
            </w:tcBorders>
            <w:noWrap/>
            <w:vAlign w:val="center"/>
            <w:hideMark/>
          </w:tcPr>
          <w:p w14:paraId="01DE27FF"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12.552.783,61</w:t>
            </w:r>
          </w:p>
        </w:tc>
        <w:tc>
          <w:tcPr>
            <w:tcW w:w="2182" w:type="dxa"/>
            <w:tcBorders>
              <w:top w:val="single" w:sz="4" w:space="0" w:color="auto"/>
              <w:left w:val="single" w:sz="4" w:space="0" w:color="auto"/>
              <w:bottom w:val="single" w:sz="4" w:space="0" w:color="auto"/>
              <w:right w:val="single" w:sz="4" w:space="0" w:color="auto"/>
            </w:tcBorders>
            <w:vAlign w:val="center"/>
          </w:tcPr>
          <w:p w14:paraId="42B10334" w14:textId="77777777" w:rsidR="00C228B7" w:rsidRPr="00C05021" w:rsidRDefault="00C228B7" w:rsidP="00106C4F">
            <w:pPr>
              <w:spacing w:after="0" w:line="240" w:lineRule="auto"/>
              <w:jc w:val="center"/>
              <w:rPr>
                <w:rFonts w:eastAsia="Times New Roman"/>
                <w:color w:val="000000"/>
                <w:sz w:val="20"/>
                <w:szCs w:val="20"/>
                <w:lang w:eastAsia="hr-HR"/>
              </w:rPr>
            </w:pPr>
            <w:r w:rsidRPr="0083328B">
              <w:rPr>
                <w:rFonts w:eastAsia="Times New Roman"/>
                <w:color w:val="000000"/>
                <w:sz w:val="20"/>
                <w:szCs w:val="20"/>
                <w:lang w:eastAsia="hr-HR"/>
              </w:rPr>
              <w:t>175.480,86</w:t>
            </w:r>
          </w:p>
        </w:tc>
        <w:tc>
          <w:tcPr>
            <w:tcW w:w="2127" w:type="dxa"/>
            <w:tcBorders>
              <w:top w:val="nil"/>
              <w:left w:val="single" w:sz="4" w:space="0" w:color="auto"/>
              <w:bottom w:val="single" w:sz="8" w:space="0" w:color="auto"/>
              <w:right w:val="single" w:sz="4" w:space="0" w:color="auto"/>
            </w:tcBorders>
            <w:noWrap/>
            <w:vAlign w:val="center"/>
            <w:hideMark/>
          </w:tcPr>
          <w:p w14:paraId="1BD4CA1F"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0</w:t>
            </w:r>
          </w:p>
        </w:tc>
        <w:tc>
          <w:tcPr>
            <w:tcW w:w="2409" w:type="dxa"/>
            <w:tcBorders>
              <w:top w:val="single" w:sz="4" w:space="0" w:color="auto"/>
              <w:left w:val="single" w:sz="4" w:space="0" w:color="auto"/>
              <w:bottom w:val="single" w:sz="4" w:space="0" w:color="auto"/>
              <w:right w:val="single" w:sz="4" w:space="0" w:color="auto"/>
            </w:tcBorders>
          </w:tcPr>
          <w:p w14:paraId="4D5AC4C7" w14:textId="77777777" w:rsidR="00C228B7" w:rsidRPr="00D64DFF" w:rsidRDefault="00C228B7" w:rsidP="00106C4F">
            <w:pPr>
              <w:spacing w:after="0" w:line="240" w:lineRule="auto"/>
              <w:jc w:val="center"/>
              <w:rPr>
                <w:rFonts w:eastAsia="Times New Roman"/>
                <w:color w:val="000000"/>
                <w:sz w:val="20"/>
                <w:szCs w:val="20"/>
                <w:lang w:eastAsia="hr-HR"/>
              </w:rPr>
            </w:pPr>
            <w:r w:rsidRPr="00D64DFF">
              <w:rPr>
                <w:rFonts w:eastAsia="Times New Roman"/>
                <w:color w:val="000000"/>
                <w:sz w:val="20"/>
                <w:szCs w:val="20"/>
                <w:lang w:eastAsia="hr-HR"/>
              </w:rPr>
              <w:t>175.480,86</w:t>
            </w:r>
          </w:p>
        </w:tc>
        <w:tc>
          <w:tcPr>
            <w:tcW w:w="2409" w:type="dxa"/>
            <w:tcBorders>
              <w:top w:val="nil"/>
              <w:left w:val="single" w:sz="4" w:space="0" w:color="auto"/>
              <w:bottom w:val="single" w:sz="8" w:space="0" w:color="auto"/>
              <w:right w:val="single" w:sz="8" w:space="0" w:color="auto"/>
            </w:tcBorders>
            <w:noWrap/>
            <w:vAlign w:val="center"/>
            <w:hideMark/>
          </w:tcPr>
          <w:p w14:paraId="2E3BE501" w14:textId="77777777" w:rsidR="00C228B7" w:rsidRPr="00C05021" w:rsidRDefault="00C228B7" w:rsidP="00106C4F">
            <w:pPr>
              <w:spacing w:after="0" w:line="240" w:lineRule="auto"/>
              <w:jc w:val="center"/>
              <w:rPr>
                <w:rFonts w:eastAsia="Times New Roman"/>
                <w:sz w:val="20"/>
                <w:szCs w:val="20"/>
                <w:lang w:eastAsia="hr-HR"/>
              </w:rPr>
            </w:pPr>
            <w:r w:rsidRPr="00C05021">
              <w:rPr>
                <w:rFonts w:eastAsia="Times New Roman"/>
                <w:sz w:val="20"/>
                <w:szCs w:val="20"/>
                <w:lang w:eastAsia="hr-HR"/>
              </w:rPr>
              <w:t>12.552.783,61</w:t>
            </w:r>
          </w:p>
        </w:tc>
      </w:tr>
      <w:tr w:rsidR="00C228B7" w:rsidRPr="00C05021" w14:paraId="373F5E17" w14:textId="77777777" w:rsidTr="00106C4F">
        <w:trPr>
          <w:trHeight w:val="535"/>
          <w:jc w:val="center"/>
        </w:trPr>
        <w:tc>
          <w:tcPr>
            <w:tcW w:w="950" w:type="dxa"/>
            <w:tcBorders>
              <w:top w:val="nil"/>
              <w:left w:val="single" w:sz="8" w:space="0" w:color="auto"/>
              <w:bottom w:val="single" w:sz="8" w:space="0" w:color="000000"/>
              <w:right w:val="single" w:sz="8" w:space="0" w:color="auto"/>
            </w:tcBorders>
            <w:shd w:val="clear" w:color="000000" w:fill="DDEBF7"/>
            <w:noWrap/>
            <w:vAlign w:val="center"/>
            <w:hideMark/>
          </w:tcPr>
          <w:p w14:paraId="3A8F8477"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ENU</w:t>
            </w:r>
          </w:p>
        </w:tc>
        <w:tc>
          <w:tcPr>
            <w:tcW w:w="2868" w:type="dxa"/>
            <w:tcBorders>
              <w:top w:val="nil"/>
              <w:left w:val="nil"/>
              <w:right w:val="single" w:sz="8" w:space="0" w:color="auto"/>
            </w:tcBorders>
            <w:shd w:val="clear" w:color="000000" w:fill="DDEBF7"/>
            <w:vAlign w:val="center"/>
            <w:hideMark/>
          </w:tcPr>
          <w:p w14:paraId="2ED98972"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 xml:space="preserve">Energetska učinkovitost </w:t>
            </w:r>
          </w:p>
          <w:p w14:paraId="6A7AA770"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(bez sektora prometa)</w:t>
            </w:r>
          </w:p>
        </w:tc>
        <w:tc>
          <w:tcPr>
            <w:tcW w:w="1417" w:type="dxa"/>
            <w:tcBorders>
              <w:top w:val="nil"/>
              <w:left w:val="single" w:sz="8" w:space="0" w:color="auto"/>
              <w:bottom w:val="single" w:sz="8" w:space="0" w:color="000000"/>
              <w:right w:val="single" w:sz="8" w:space="0" w:color="auto"/>
            </w:tcBorders>
            <w:shd w:val="clear" w:color="000000" w:fill="DDEBF7"/>
            <w:noWrap/>
            <w:vAlign w:val="center"/>
            <w:hideMark/>
          </w:tcPr>
          <w:p w14:paraId="7E766965"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57.734.42</w:t>
            </w:r>
            <w:r>
              <w:rPr>
                <w:rFonts w:eastAsia="Times New Roman"/>
                <w:b/>
                <w:bCs/>
                <w:color w:val="000000"/>
                <w:sz w:val="20"/>
                <w:szCs w:val="20"/>
                <w:lang w:eastAsia="hr-HR"/>
              </w:rPr>
              <w:t>2</w:t>
            </w:r>
          </w:p>
        </w:tc>
        <w:tc>
          <w:tcPr>
            <w:tcW w:w="1172" w:type="dxa"/>
            <w:tcBorders>
              <w:top w:val="nil"/>
              <w:left w:val="single" w:sz="8" w:space="0" w:color="auto"/>
              <w:bottom w:val="single" w:sz="8" w:space="0" w:color="000000"/>
              <w:right w:val="single" w:sz="8" w:space="0" w:color="auto"/>
            </w:tcBorders>
            <w:vAlign w:val="center"/>
            <w:hideMark/>
          </w:tcPr>
          <w:p w14:paraId="1FB6559C"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28,81</w:t>
            </w:r>
            <w:r>
              <w:rPr>
                <w:rFonts w:eastAsia="Times New Roman"/>
                <w:color w:val="000000"/>
                <w:sz w:val="20"/>
                <w:szCs w:val="20"/>
                <w:lang w:eastAsia="hr-HR"/>
              </w:rPr>
              <w:t xml:space="preserve"> </w:t>
            </w:r>
            <w:r w:rsidRPr="00C05021">
              <w:rPr>
                <w:rFonts w:eastAsia="Times New Roman"/>
                <w:color w:val="000000"/>
                <w:sz w:val="20"/>
                <w:szCs w:val="20"/>
                <w:lang w:eastAsia="hr-HR"/>
              </w:rPr>
              <w:t>%</w:t>
            </w:r>
          </w:p>
        </w:tc>
        <w:tc>
          <w:tcPr>
            <w:tcW w:w="1805" w:type="dxa"/>
            <w:tcBorders>
              <w:top w:val="nil"/>
              <w:left w:val="single" w:sz="8" w:space="0" w:color="auto"/>
              <w:bottom w:val="single" w:sz="8" w:space="0" w:color="000000"/>
              <w:right w:val="single" w:sz="8" w:space="0" w:color="auto"/>
            </w:tcBorders>
            <w:noWrap/>
            <w:vAlign w:val="center"/>
            <w:hideMark/>
          </w:tcPr>
          <w:p w14:paraId="30FEF659"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87.796.13</w:t>
            </w:r>
            <w:r>
              <w:rPr>
                <w:rFonts w:eastAsia="Times New Roman"/>
                <w:b/>
                <w:bCs/>
                <w:color w:val="000000"/>
                <w:sz w:val="20"/>
                <w:szCs w:val="20"/>
                <w:lang w:eastAsia="hr-HR"/>
              </w:rPr>
              <w:t>8</w:t>
            </w:r>
          </w:p>
        </w:tc>
        <w:tc>
          <w:tcPr>
            <w:tcW w:w="1701" w:type="dxa"/>
            <w:tcBorders>
              <w:top w:val="nil"/>
              <w:left w:val="single" w:sz="8" w:space="0" w:color="auto"/>
              <w:bottom w:val="single" w:sz="8" w:space="0" w:color="000000"/>
              <w:right w:val="single" w:sz="8" w:space="0" w:color="auto"/>
            </w:tcBorders>
            <w:noWrap/>
            <w:vAlign w:val="center"/>
            <w:hideMark/>
          </w:tcPr>
          <w:p w14:paraId="403D8268" w14:textId="77777777" w:rsidR="00C228B7" w:rsidRPr="00C05021" w:rsidRDefault="00C228B7" w:rsidP="00106C4F">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80.588.293</w:t>
            </w:r>
          </w:p>
        </w:tc>
        <w:tc>
          <w:tcPr>
            <w:tcW w:w="1503" w:type="dxa"/>
            <w:tcBorders>
              <w:top w:val="nil"/>
              <w:left w:val="single" w:sz="8" w:space="0" w:color="auto"/>
              <w:bottom w:val="single" w:sz="8" w:space="0" w:color="000000"/>
              <w:right w:val="single" w:sz="4" w:space="0" w:color="auto"/>
            </w:tcBorders>
            <w:noWrap/>
            <w:vAlign w:val="center"/>
            <w:hideMark/>
          </w:tcPr>
          <w:p w14:paraId="12C0B3F7"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89.367.435,84</w:t>
            </w:r>
          </w:p>
        </w:tc>
        <w:tc>
          <w:tcPr>
            <w:tcW w:w="2182" w:type="dxa"/>
            <w:tcBorders>
              <w:top w:val="single" w:sz="4" w:space="0" w:color="auto"/>
              <w:left w:val="single" w:sz="4" w:space="0" w:color="auto"/>
              <w:right w:val="single" w:sz="4" w:space="0" w:color="auto"/>
            </w:tcBorders>
            <w:vAlign w:val="center"/>
          </w:tcPr>
          <w:p w14:paraId="05C4B897" w14:textId="77777777" w:rsidR="00C228B7" w:rsidRPr="00C05021" w:rsidRDefault="00C228B7" w:rsidP="00106C4F">
            <w:pPr>
              <w:spacing w:after="0" w:line="240" w:lineRule="auto"/>
              <w:jc w:val="center"/>
              <w:rPr>
                <w:rFonts w:eastAsia="Times New Roman"/>
                <w:color w:val="000000"/>
                <w:sz w:val="20"/>
                <w:szCs w:val="20"/>
                <w:lang w:eastAsia="hr-HR"/>
              </w:rPr>
            </w:pPr>
            <w:r w:rsidRPr="0083328B">
              <w:rPr>
                <w:rFonts w:eastAsia="Times New Roman"/>
                <w:color w:val="000000"/>
                <w:sz w:val="20"/>
                <w:szCs w:val="20"/>
                <w:lang w:eastAsia="hr-HR"/>
              </w:rPr>
              <w:t>2.711.324,74</w:t>
            </w:r>
          </w:p>
        </w:tc>
        <w:tc>
          <w:tcPr>
            <w:tcW w:w="2127" w:type="dxa"/>
            <w:tcBorders>
              <w:top w:val="nil"/>
              <w:left w:val="single" w:sz="4" w:space="0" w:color="auto"/>
              <w:bottom w:val="single" w:sz="8" w:space="0" w:color="000000"/>
              <w:right w:val="single" w:sz="4" w:space="0" w:color="auto"/>
            </w:tcBorders>
            <w:noWrap/>
            <w:vAlign w:val="center"/>
            <w:hideMark/>
          </w:tcPr>
          <w:p w14:paraId="66EA32A0"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224.421,42</w:t>
            </w:r>
          </w:p>
        </w:tc>
        <w:tc>
          <w:tcPr>
            <w:tcW w:w="2409" w:type="dxa"/>
            <w:tcBorders>
              <w:top w:val="single" w:sz="4" w:space="0" w:color="auto"/>
              <w:left w:val="single" w:sz="4" w:space="0" w:color="auto"/>
              <w:right w:val="single" w:sz="4" w:space="0" w:color="auto"/>
            </w:tcBorders>
          </w:tcPr>
          <w:p w14:paraId="41A4FFB0" w14:textId="77777777" w:rsidR="00C228B7" w:rsidRPr="00D64DFF" w:rsidRDefault="00C228B7" w:rsidP="00106C4F">
            <w:pPr>
              <w:spacing w:after="0" w:line="240" w:lineRule="auto"/>
              <w:jc w:val="center"/>
              <w:rPr>
                <w:rFonts w:eastAsia="Times New Roman"/>
                <w:color w:val="000000"/>
                <w:sz w:val="20"/>
                <w:szCs w:val="20"/>
                <w:lang w:eastAsia="hr-HR"/>
              </w:rPr>
            </w:pPr>
          </w:p>
          <w:p w14:paraId="71F1DB6D" w14:textId="77777777" w:rsidR="00C228B7" w:rsidRPr="00D64DFF" w:rsidRDefault="00C228B7" w:rsidP="00106C4F">
            <w:pPr>
              <w:spacing w:after="0" w:line="240" w:lineRule="auto"/>
              <w:rPr>
                <w:rFonts w:eastAsia="Times New Roman"/>
                <w:color w:val="000000"/>
                <w:sz w:val="20"/>
                <w:szCs w:val="20"/>
                <w:lang w:eastAsia="hr-HR"/>
              </w:rPr>
            </w:pPr>
            <w:r>
              <w:rPr>
                <w:rFonts w:eastAsia="Times New Roman"/>
                <w:color w:val="000000"/>
                <w:sz w:val="20"/>
                <w:szCs w:val="20"/>
                <w:lang w:eastAsia="hr-HR"/>
              </w:rPr>
              <w:t xml:space="preserve">          </w:t>
            </w:r>
            <w:r w:rsidRPr="00D64DFF">
              <w:rPr>
                <w:rFonts w:eastAsia="Times New Roman"/>
                <w:color w:val="000000"/>
                <w:sz w:val="20"/>
                <w:szCs w:val="20"/>
                <w:lang w:eastAsia="hr-HR"/>
              </w:rPr>
              <w:t>2.935.746,16</w:t>
            </w:r>
          </w:p>
        </w:tc>
        <w:tc>
          <w:tcPr>
            <w:tcW w:w="2409" w:type="dxa"/>
            <w:tcBorders>
              <w:top w:val="nil"/>
              <w:left w:val="single" w:sz="4" w:space="0" w:color="auto"/>
              <w:bottom w:val="single" w:sz="8" w:space="0" w:color="000000"/>
              <w:right w:val="single" w:sz="8" w:space="0" w:color="auto"/>
            </w:tcBorders>
            <w:noWrap/>
            <w:vAlign w:val="center"/>
            <w:hideMark/>
          </w:tcPr>
          <w:p w14:paraId="667BD24A" w14:textId="77777777" w:rsidR="00C228B7" w:rsidRPr="00C05021" w:rsidRDefault="00C228B7" w:rsidP="00106C4F">
            <w:pPr>
              <w:spacing w:after="0" w:line="240" w:lineRule="auto"/>
              <w:jc w:val="center"/>
              <w:rPr>
                <w:rFonts w:eastAsia="Times New Roman"/>
                <w:sz w:val="20"/>
                <w:szCs w:val="20"/>
                <w:lang w:eastAsia="hr-HR"/>
              </w:rPr>
            </w:pPr>
            <w:r w:rsidRPr="00C05021">
              <w:rPr>
                <w:rFonts w:eastAsia="Times New Roman"/>
                <w:sz w:val="20"/>
                <w:szCs w:val="20"/>
                <w:lang w:eastAsia="hr-HR"/>
              </w:rPr>
              <w:t>89.59</w:t>
            </w:r>
            <w:r>
              <w:rPr>
                <w:rFonts w:eastAsia="Times New Roman"/>
                <w:sz w:val="20"/>
                <w:szCs w:val="20"/>
                <w:lang w:eastAsia="hr-HR"/>
              </w:rPr>
              <w:t>1</w:t>
            </w:r>
            <w:r w:rsidRPr="00C05021">
              <w:rPr>
                <w:rFonts w:eastAsia="Times New Roman"/>
                <w:sz w:val="20"/>
                <w:szCs w:val="20"/>
                <w:lang w:eastAsia="hr-HR"/>
              </w:rPr>
              <w:t>.8</w:t>
            </w:r>
            <w:r>
              <w:rPr>
                <w:rFonts w:eastAsia="Times New Roman"/>
                <w:sz w:val="20"/>
                <w:szCs w:val="20"/>
                <w:lang w:eastAsia="hr-HR"/>
              </w:rPr>
              <w:t>57</w:t>
            </w:r>
            <w:r w:rsidRPr="00C05021">
              <w:rPr>
                <w:rFonts w:eastAsia="Times New Roman"/>
                <w:sz w:val="20"/>
                <w:szCs w:val="20"/>
                <w:lang w:eastAsia="hr-HR"/>
              </w:rPr>
              <w:t>,</w:t>
            </w:r>
            <w:r>
              <w:rPr>
                <w:rFonts w:eastAsia="Times New Roman"/>
                <w:sz w:val="20"/>
                <w:szCs w:val="20"/>
                <w:lang w:eastAsia="hr-HR"/>
              </w:rPr>
              <w:t>26</w:t>
            </w:r>
          </w:p>
        </w:tc>
      </w:tr>
      <w:tr w:rsidR="00C228B7" w:rsidRPr="00C05021" w14:paraId="5F0B44EC" w14:textId="77777777" w:rsidTr="00106C4F">
        <w:trPr>
          <w:trHeight w:val="270"/>
          <w:jc w:val="center"/>
        </w:trPr>
        <w:tc>
          <w:tcPr>
            <w:tcW w:w="950" w:type="dxa"/>
            <w:tcBorders>
              <w:top w:val="nil"/>
              <w:left w:val="single" w:sz="8" w:space="0" w:color="auto"/>
              <w:bottom w:val="single" w:sz="8" w:space="0" w:color="auto"/>
              <w:right w:val="single" w:sz="8" w:space="0" w:color="auto"/>
            </w:tcBorders>
            <w:shd w:val="clear" w:color="000000" w:fill="DDEBF7"/>
            <w:noWrap/>
            <w:vAlign w:val="center"/>
            <w:hideMark/>
          </w:tcPr>
          <w:p w14:paraId="15095FD7"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ENS</w:t>
            </w:r>
          </w:p>
        </w:tc>
        <w:tc>
          <w:tcPr>
            <w:tcW w:w="2868" w:type="dxa"/>
            <w:tcBorders>
              <w:top w:val="nil"/>
              <w:left w:val="nil"/>
              <w:bottom w:val="single" w:sz="8" w:space="0" w:color="auto"/>
              <w:right w:val="single" w:sz="8" w:space="0" w:color="auto"/>
            </w:tcBorders>
            <w:shd w:val="clear" w:color="000000" w:fill="DDEBF7"/>
            <w:vAlign w:val="center"/>
            <w:hideMark/>
          </w:tcPr>
          <w:p w14:paraId="23AE7986"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Ukupno energetsko siromaštvo</w:t>
            </w:r>
          </w:p>
        </w:tc>
        <w:tc>
          <w:tcPr>
            <w:tcW w:w="1417" w:type="dxa"/>
            <w:tcBorders>
              <w:top w:val="nil"/>
              <w:left w:val="nil"/>
              <w:bottom w:val="single" w:sz="8" w:space="0" w:color="auto"/>
              <w:right w:val="single" w:sz="8" w:space="0" w:color="auto"/>
            </w:tcBorders>
            <w:shd w:val="clear" w:color="000000" w:fill="DDEBF7"/>
            <w:noWrap/>
            <w:vAlign w:val="center"/>
            <w:hideMark/>
          </w:tcPr>
          <w:p w14:paraId="7778C8EB"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5.308.912</w:t>
            </w:r>
          </w:p>
        </w:tc>
        <w:tc>
          <w:tcPr>
            <w:tcW w:w="1172" w:type="dxa"/>
            <w:tcBorders>
              <w:top w:val="nil"/>
              <w:left w:val="nil"/>
              <w:bottom w:val="single" w:sz="8" w:space="0" w:color="auto"/>
              <w:right w:val="single" w:sz="8" w:space="0" w:color="auto"/>
            </w:tcBorders>
            <w:vAlign w:val="center"/>
            <w:hideMark/>
          </w:tcPr>
          <w:p w14:paraId="6FC0C4E5"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2,65</w:t>
            </w:r>
            <w:r>
              <w:rPr>
                <w:rFonts w:eastAsia="Times New Roman"/>
                <w:color w:val="000000"/>
                <w:sz w:val="20"/>
                <w:szCs w:val="20"/>
                <w:lang w:eastAsia="hr-HR"/>
              </w:rPr>
              <w:t xml:space="preserve"> </w:t>
            </w:r>
            <w:r w:rsidRPr="00C05021">
              <w:rPr>
                <w:rFonts w:eastAsia="Times New Roman"/>
                <w:color w:val="000000"/>
                <w:sz w:val="20"/>
                <w:szCs w:val="20"/>
                <w:lang w:eastAsia="hr-HR"/>
              </w:rPr>
              <w:t>%</w:t>
            </w:r>
          </w:p>
        </w:tc>
        <w:tc>
          <w:tcPr>
            <w:tcW w:w="1805" w:type="dxa"/>
            <w:tcBorders>
              <w:top w:val="nil"/>
              <w:left w:val="nil"/>
              <w:bottom w:val="single" w:sz="8" w:space="0" w:color="auto"/>
              <w:right w:val="single" w:sz="8" w:space="0" w:color="auto"/>
            </w:tcBorders>
            <w:noWrap/>
            <w:vAlign w:val="center"/>
            <w:hideMark/>
          </w:tcPr>
          <w:p w14:paraId="514E8A30"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5.308.912</w:t>
            </w:r>
          </w:p>
        </w:tc>
        <w:tc>
          <w:tcPr>
            <w:tcW w:w="1701" w:type="dxa"/>
            <w:tcBorders>
              <w:top w:val="nil"/>
              <w:left w:val="nil"/>
              <w:bottom w:val="single" w:sz="8" w:space="0" w:color="auto"/>
              <w:right w:val="single" w:sz="8" w:space="0" w:color="auto"/>
            </w:tcBorders>
            <w:noWrap/>
            <w:vAlign w:val="center"/>
            <w:hideMark/>
          </w:tcPr>
          <w:p w14:paraId="4D183D29"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6.064.111</w:t>
            </w:r>
          </w:p>
        </w:tc>
        <w:tc>
          <w:tcPr>
            <w:tcW w:w="1503" w:type="dxa"/>
            <w:tcBorders>
              <w:top w:val="nil"/>
              <w:left w:val="nil"/>
              <w:bottom w:val="single" w:sz="8" w:space="0" w:color="auto"/>
              <w:right w:val="single" w:sz="4" w:space="0" w:color="auto"/>
            </w:tcBorders>
            <w:noWrap/>
            <w:vAlign w:val="center"/>
            <w:hideMark/>
          </w:tcPr>
          <w:p w14:paraId="35EF330C"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1.656.879,94</w:t>
            </w:r>
          </w:p>
        </w:tc>
        <w:tc>
          <w:tcPr>
            <w:tcW w:w="2182" w:type="dxa"/>
            <w:tcBorders>
              <w:top w:val="single" w:sz="4" w:space="0" w:color="auto"/>
              <w:left w:val="single" w:sz="4" w:space="0" w:color="auto"/>
              <w:bottom w:val="single" w:sz="4" w:space="0" w:color="auto"/>
              <w:right w:val="single" w:sz="4" w:space="0" w:color="auto"/>
            </w:tcBorders>
            <w:vAlign w:val="center"/>
          </w:tcPr>
          <w:p w14:paraId="34863571" w14:textId="77777777" w:rsidR="00C228B7" w:rsidRPr="00C05021" w:rsidRDefault="00C228B7" w:rsidP="00106C4F">
            <w:pPr>
              <w:spacing w:after="0" w:line="240" w:lineRule="auto"/>
              <w:jc w:val="center"/>
              <w:rPr>
                <w:rFonts w:eastAsia="Times New Roman"/>
                <w:color w:val="000000"/>
                <w:sz w:val="20"/>
                <w:szCs w:val="20"/>
                <w:lang w:eastAsia="hr-HR"/>
              </w:rPr>
            </w:pPr>
            <w:r w:rsidRPr="0083328B">
              <w:rPr>
                <w:rFonts w:eastAsia="Times New Roman"/>
                <w:color w:val="000000"/>
                <w:sz w:val="20"/>
                <w:szCs w:val="20"/>
                <w:lang w:eastAsia="hr-HR"/>
              </w:rPr>
              <w:t>232.504,82</w:t>
            </w:r>
          </w:p>
        </w:tc>
        <w:tc>
          <w:tcPr>
            <w:tcW w:w="2127" w:type="dxa"/>
            <w:tcBorders>
              <w:top w:val="nil"/>
              <w:left w:val="single" w:sz="4" w:space="0" w:color="auto"/>
              <w:bottom w:val="single" w:sz="8" w:space="0" w:color="auto"/>
              <w:right w:val="single" w:sz="4" w:space="0" w:color="auto"/>
            </w:tcBorders>
            <w:noWrap/>
            <w:vAlign w:val="center"/>
            <w:hideMark/>
          </w:tcPr>
          <w:p w14:paraId="1BBD00FA"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0</w:t>
            </w:r>
          </w:p>
        </w:tc>
        <w:tc>
          <w:tcPr>
            <w:tcW w:w="2409" w:type="dxa"/>
            <w:tcBorders>
              <w:top w:val="single" w:sz="4" w:space="0" w:color="auto"/>
              <w:left w:val="single" w:sz="4" w:space="0" w:color="auto"/>
              <w:bottom w:val="single" w:sz="4" w:space="0" w:color="auto"/>
              <w:right w:val="single" w:sz="4" w:space="0" w:color="auto"/>
            </w:tcBorders>
          </w:tcPr>
          <w:p w14:paraId="3CDB30E4" w14:textId="77777777" w:rsidR="00C228B7" w:rsidRPr="00D64DFF" w:rsidRDefault="00C228B7" w:rsidP="00106C4F">
            <w:pPr>
              <w:spacing w:after="0" w:line="240" w:lineRule="auto"/>
              <w:jc w:val="center"/>
              <w:rPr>
                <w:rFonts w:eastAsia="Times New Roman"/>
                <w:color w:val="000000"/>
                <w:sz w:val="20"/>
                <w:szCs w:val="20"/>
                <w:lang w:eastAsia="hr-HR"/>
              </w:rPr>
            </w:pPr>
            <w:r w:rsidRPr="00D64DFF">
              <w:rPr>
                <w:rFonts w:eastAsia="Times New Roman"/>
                <w:color w:val="000000"/>
                <w:sz w:val="20"/>
                <w:szCs w:val="20"/>
                <w:lang w:eastAsia="hr-HR"/>
              </w:rPr>
              <w:t>235.504,82</w:t>
            </w:r>
          </w:p>
        </w:tc>
        <w:tc>
          <w:tcPr>
            <w:tcW w:w="2409" w:type="dxa"/>
            <w:tcBorders>
              <w:top w:val="nil"/>
              <w:left w:val="single" w:sz="4" w:space="0" w:color="auto"/>
              <w:bottom w:val="single" w:sz="8" w:space="0" w:color="auto"/>
              <w:right w:val="single" w:sz="8" w:space="0" w:color="auto"/>
            </w:tcBorders>
            <w:noWrap/>
            <w:vAlign w:val="center"/>
            <w:hideMark/>
          </w:tcPr>
          <w:p w14:paraId="3FEF6BE7" w14:textId="77777777" w:rsidR="00C228B7" w:rsidRPr="00C05021" w:rsidRDefault="00C228B7" w:rsidP="00106C4F">
            <w:pPr>
              <w:spacing w:after="0" w:line="240" w:lineRule="auto"/>
              <w:jc w:val="center"/>
              <w:rPr>
                <w:rFonts w:eastAsia="Times New Roman"/>
                <w:sz w:val="20"/>
                <w:szCs w:val="20"/>
                <w:lang w:eastAsia="hr-HR"/>
              </w:rPr>
            </w:pPr>
            <w:r w:rsidRPr="00C05021">
              <w:rPr>
                <w:rFonts w:eastAsia="Times New Roman"/>
                <w:sz w:val="20"/>
                <w:szCs w:val="20"/>
                <w:lang w:eastAsia="hr-HR"/>
              </w:rPr>
              <w:t>1.656.879,94</w:t>
            </w:r>
          </w:p>
        </w:tc>
      </w:tr>
      <w:tr w:rsidR="00C228B7" w:rsidRPr="00C05021" w14:paraId="33FE3FE4" w14:textId="77777777" w:rsidTr="00106C4F">
        <w:trPr>
          <w:trHeight w:val="270"/>
          <w:jc w:val="center"/>
        </w:trPr>
        <w:tc>
          <w:tcPr>
            <w:tcW w:w="950" w:type="dxa"/>
            <w:tcBorders>
              <w:top w:val="nil"/>
              <w:left w:val="single" w:sz="8" w:space="0" w:color="auto"/>
              <w:bottom w:val="single" w:sz="8" w:space="0" w:color="auto"/>
              <w:right w:val="single" w:sz="8" w:space="0" w:color="auto"/>
            </w:tcBorders>
            <w:shd w:val="clear" w:color="000000" w:fill="DDEBF7"/>
            <w:noWrap/>
            <w:vAlign w:val="center"/>
            <w:hideMark/>
          </w:tcPr>
          <w:p w14:paraId="4E6000ED"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PR</w:t>
            </w:r>
          </w:p>
        </w:tc>
        <w:tc>
          <w:tcPr>
            <w:tcW w:w="2868" w:type="dxa"/>
            <w:tcBorders>
              <w:top w:val="nil"/>
              <w:left w:val="nil"/>
              <w:bottom w:val="single" w:sz="8" w:space="0" w:color="auto"/>
              <w:right w:val="single" w:sz="8" w:space="0" w:color="auto"/>
            </w:tcBorders>
            <w:shd w:val="clear" w:color="000000" w:fill="DDEBF7"/>
            <w:vAlign w:val="center"/>
            <w:hideMark/>
          </w:tcPr>
          <w:p w14:paraId="54107337"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Promet</w:t>
            </w:r>
          </w:p>
        </w:tc>
        <w:tc>
          <w:tcPr>
            <w:tcW w:w="1417" w:type="dxa"/>
            <w:tcBorders>
              <w:top w:val="nil"/>
              <w:left w:val="nil"/>
              <w:bottom w:val="single" w:sz="8" w:space="0" w:color="auto"/>
              <w:right w:val="single" w:sz="8" w:space="0" w:color="auto"/>
            </w:tcBorders>
            <w:shd w:val="clear" w:color="000000" w:fill="DDEBF7"/>
            <w:noWrap/>
            <w:vAlign w:val="center"/>
            <w:hideMark/>
          </w:tcPr>
          <w:p w14:paraId="1620ED22"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15.395.84</w:t>
            </w:r>
            <w:r>
              <w:rPr>
                <w:rFonts w:eastAsia="Times New Roman"/>
                <w:b/>
                <w:bCs/>
                <w:color w:val="000000"/>
                <w:sz w:val="20"/>
                <w:szCs w:val="20"/>
                <w:lang w:eastAsia="hr-HR"/>
              </w:rPr>
              <w:t>6</w:t>
            </w:r>
          </w:p>
        </w:tc>
        <w:tc>
          <w:tcPr>
            <w:tcW w:w="1172" w:type="dxa"/>
            <w:tcBorders>
              <w:top w:val="nil"/>
              <w:left w:val="nil"/>
              <w:bottom w:val="single" w:sz="8" w:space="0" w:color="auto"/>
              <w:right w:val="single" w:sz="8" w:space="0" w:color="auto"/>
            </w:tcBorders>
            <w:vAlign w:val="center"/>
            <w:hideMark/>
          </w:tcPr>
          <w:p w14:paraId="0835F743"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7,68</w:t>
            </w:r>
            <w:r>
              <w:rPr>
                <w:rFonts w:eastAsia="Times New Roman"/>
                <w:color w:val="000000"/>
                <w:sz w:val="20"/>
                <w:szCs w:val="20"/>
                <w:lang w:eastAsia="hr-HR"/>
              </w:rPr>
              <w:t xml:space="preserve"> </w:t>
            </w:r>
            <w:r w:rsidRPr="00C05021">
              <w:rPr>
                <w:rFonts w:eastAsia="Times New Roman"/>
                <w:color w:val="000000"/>
                <w:sz w:val="20"/>
                <w:szCs w:val="20"/>
                <w:lang w:eastAsia="hr-HR"/>
              </w:rPr>
              <w:t>%</w:t>
            </w:r>
          </w:p>
        </w:tc>
        <w:tc>
          <w:tcPr>
            <w:tcW w:w="1805" w:type="dxa"/>
            <w:tcBorders>
              <w:top w:val="nil"/>
              <w:left w:val="nil"/>
              <w:bottom w:val="single" w:sz="8" w:space="0" w:color="auto"/>
              <w:right w:val="single" w:sz="8" w:space="0" w:color="auto"/>
            </w:tcBorders>
            <w:noWrap/>
            <w:vAlign w:val="center"/>
            <w:hideMark/>
          </w:tcPr>
          <w:p w14:paraId="195B8AE0"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2.123.56</w:t>
            </w:r>
            <w:r>
              <w:rPr>
                <w:rFonts w:eastAsia="Times New Roman"/>
                <w:b/>
                <w:bCs/>
                <w:color w:val="000000"/>
                <w:sz w:val="20"/>
                <w:szCs w:val="20"/>
                <w:lang w:eastAsia="hr-HR"/>
              </w:rPr>
              <w:t>5</w:t>
            </w:r>
          </w:p>
        </w:tc>
        <w:tc>
          <w:tcPr>
            <w:tcW w:w="1701" w:type="dxa"/>
            <w:tcBorders>
              <w:top w:val="nil"/>
              <w:left w:val="nil"/>
              <w:bottom w:val="single" w:sz="8" w:space="0" w:color="auto"/>
              <w:right w:val="single" w:sz="8" w:space="0" w:color="auto"/>
            </w:tcBorders>
            <w:noWrap/>
            <w:vAlign w:val="center"/>
            <w:hideMark/>
          </w:tcPr>
          <w:p w14:paraId="67EB7C6E"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2.425.64</w:t>
            </w:r>
            <w:r>
              <w:rPr>
                <w:rFonts w:eastAsia="Times New Roman"/>
                <w:color w:val="000000"/>
                <w:sz w:val="20"/>
                <w:szCs w:val="20"/>
                <w:lang w:eastAsia="hr-HR"/>
              </w:rPr>
              <w:t>5</w:t>
            </w:r>
          </w:p>
        </w:tc>
        <w:tc>
          <w:tcPr>
            <w:tcW w:w="1503" w:type="dxa"/>
            <w:tcBorders>
              <w:top w:val="nil"/>
              <w:left w:val="nil"/>
              <w:bottom w:val="single" w:sz="8" w:space="0" w:color="auto"/>
              <w:right w:val="single" w:sz="4" w:space="0" w:color="auto"/>
            </w:tcBorders>
            <w:noWrap/>
            <w:vAlign w:val="center"/>
            <w:hideMark/>
          </w:tcPr>
          <w:p w14:paraId="5011659F"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2.093.509,30</w:t>
            </w:r>
          </w:p>
        </w:tc>
        <w:tc>
          <w:tcPr>
            <w:tcW w:w="2182" w:type="dxa"/>
            <w:tcBorders>
              <w:top w:val="single" w:sz="4" w:space="0" w:color="auto"/>
              <w:left w:val="single" w:sz="4" w:space="0" w:color="auto"/>
              <w:bottom w:val="single" w:sz="4" w:space="0" w:color="auto"/>
              <w:right w:val="single" w:sz="4" w:space="0" w:color="auto"/>
            </w:tcBorders>
            <w:vAlign w:val="center"/>
          </w:tcPr>
          <w:p w14:paraId="4674608C" w14:textId="77777777" w:rsidR="00C228B7" w:rsidRPr="00C05021" w:rsidRDefault="00C228B7" w:rsidP="00106C4F">
            <w:pPr>
              <w:spacing w:after="0" w:line="240" w:lineRule="auto"/>
              <w:jc w:val="center"/>
              <w:rPr>
                <w:rFonts w:eastAsia="Times New Roman"/>
                <w:color w:val="000000"/>
                <w:sz w:val="20"/>
                <w:szCs w:val="20"/>
                <w:lang w:eastAsia="hr-HR"/>
              </w:rPr>
            </w:pPr>
            <w:r w:rsidRPr="0083328B">
              <w:rPr>
                <w:rFonts w:eastAsia="Times New Roman"/>
                <w:color w:val="000000"/>
                <w:sz w:val="20"/>
                <w:szCs w:val="20"/>
                <w:lang w:eastAsia="hr-HR"/>
              </w:rPr>
              <w:t>14.148,58</w:t>
            </w:r>
          </w:p>
        </w:tc>
        <w:tc>
          <w:tcPr>
            <w:tcW w:w="2127" w:type="dxa"/>
            <w:tcBorders>
              <w:top w:val="nil"/>
              <w:left w:val="single" w:sz="4" w:space="0" w:color="auto"/>
              <w:bottom w:val="single" w:sz="8" w:space="0" w:color="auto"/>
              <w:right w:val="single" w:sz="4" w:space="0" w:color="auto"/>
            </w:tcBorders>
            <w:noWrap/>
            <w:vAlign w:val="center"/>
            <w:hideMark/>
          </w:tcPr>
          <w:p w14:paraId="79A8C840"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0</w:t>
            </w:r>
          </w:p>
        </w:tc>
        <w:tc>
          <w:tcPr>
            <w:tcW w:w="2409" w:type="dxa"/>
            <w:tcBorders>
              <w:top w:val="single" w:sz="4" w:space="0" w:color="auto"/>
              <w:left w:val="single" w:sz="4" w:space="0" w:color="auto"/>
              <w:bottom w:val="single" w:sz="4" w:space="0" w:color="auto"/>
              <w:right w:val="single" w:sz="4" w:space="0" w:color="auto"/>
            </w:tcBorders>
          </w:tcPr>
          <w:p w14:paraId="5B1746F2" w14:textId="77777777" w:rsidR="00C228B7" w:rsidRPr="00D64DFF" w:rsidRDefault="00C228B7" w:rsidP="00106C4F">
            <w:pPr>
              <w:spacing w:after="0" w:line="240" w:lineRule="auto"/>
              <w:jc w:val="center"/>
              <w:rPr>
                <w:rFonts w:eastAsia="Times New Roman"/>
                <w:color w:val="000000"/>
                <w:sz w:val="20"/>
                <w:szCs w:val="20"/>
                <w:lang w:eastAsia="hr-HR"/>
              </w:rPr>
            </w:pPr>
            <w:r w:rsidRPr="00D64DFF">
              <w:rPr>
                <w:rFonts w:eastAsia="Times New Roman"/>
                <w:color w:val="000000"/>
                <w:sz w:val="20"/>
                <w:szCs w:val="20"/>
                <w:lang w:eastAsia="hr-HR"/>
              </w:rPr>
              <w:t>14.148,58</w:t>
            </w:r>
          </w:p>
        </w:tc>
        <w:tc>
          <w:tcPr>
            <w:tcW w:w="2409" w:type="dxa"/>
            <w:tcBorders>
              <w:top w:val="nil"/>
              <w:left w:val="single" w:sz="4" w:space="0" w:color="auto"/>
              <w:bottom w:val="single" w:sz="8" w:space="0" w:color="auto"/>
              <w:right w:val="single" w:sz="8" w:space="0" w:color="auto"/>
            </w:tcBorders>
            <w:noWrap/>
            <w:vAlign w:val="center"/>
            <w:hideMark/>
          </w:tcPr>
          <w:p w14:paraId="270989F5" w14:textId="77777777" w:rsidR="00C228B7" w:rsidRPr="00C05021" w:rsidRDefault="00C228B7" w:rsidP="00106C4F">
            <w:pPr>
              <w:spacing w:after="0" w:line="240" w:lineRule="auto"/>
              <w:jc w:val="center"/>
              <w:rPr>
                <w:rFonts w:eastAsia="Times New Roman"/>
                <w:sz w:val="20"/>
                <w:szCs w:val="20"/>
                <w:lang w:eastAsia="hr-HR"/>
              </w:rPr>
            </w:pPr>
            <w:r w:rsidRPr="00C05021">
              <w:rPr>
                <w:rFonts w:eastAsia="Times New Roman"/>
                <w:sz w:val="20"/>
                <w:szCs w:val="20"/>
                <w:lang w:eastAsia="hr-HR"/>
              </w:rPr>
              <w:t>2.093.509,30</w:t>
            </w:r>
          </w:p>
        </w:tc>
      </w:tr>
      <w:tr w:rsidR="00C228B7" w:rsidRPr="00C05021" w14:paraId="208E114D" w14:textId="77777777" w:rsidTr="00106C4F">
        <w:trPr>
          <w:trHeight w:val="525"/>
          <w:jc w:val="center"/>
        </w:trPr>
        <w:tc>
          <w:tcPr>
            <w:tcW w:w="950" w:type="dxa"/>
            <w:tcBorders>
              <w:top w:val="nil"/>
              <w:left w:val="single" w:sz="8" w:space="0" w:color="auto"/>
              <w:bottom w:val="single" w:sz="8" w:space="0" w:color="auto"/>
              <w:right w:val="single" w:sz="8" w:space="0" w:color="auto"/>
            </w:tcBorders>
            <w:shd w:val="clear" w:color="000000" w:fill="DDEBF7"/>
            <w:noWrap/>
            <w:vAlign w:val="center"/>
            <w:hideMark/>
          </w:tcPr>
          <w:p w14:paraId="3BE5D709"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NES/OT</w:t>
            </w:r>
          </w:p>
        </w:tc>
        <w:tc>
          <w:tcPr>
            <w:tcW w:w="2868" w:type="dxa"/>
            <w:tcBorders>
              <w:top w:val="nil"/>
              <w:left w:val="nil"/>
              <w:bottom w:val="single" w:sz="8" w:space="0" w:color="auto"/>
              <w:right w:val="single" w:sz="8" w:space="0" w:color="auto"/>
            </w:tcBorders>
            <w:shd w:val="clear" w:color="000000" w:fill="DDEBF7"/>
            <w:vAlign w:val="center"/>
            <w:hideMark/>
          </w:tcPr>
          <w:p w14:paraId="7B773980" w14:textId="77777777" w:rsidR="00C228B7" w:rsidRPr="00C05021" w:rsidRDefault="00C228B7" w:rsidP="00106C4F">
            <w:pPr>
              <w:spacing w:after="0" w:line="240" w:lineRule="auto"/>
              <w:jc w:val="center"/>
              <w:rPr>
                <w:rFonts w:eastAsia="Times New Roman"/>
                <w:color w:val="000000"/>
                <w:sz w:val="20"/>
                <w:szCs w:val="20"/>
                <w:lang w:eastAsia="hr-HR"/>
              </w:rPr>
            </w:pPr>
            <w:proofErr w:type="spellStart"/>
            <w:r w:rsidRPr="00C05021">
              <w:rPr>
                <w:rFonts w:eastAsia="Times New Roman"/>
                <w:color w:val="000000"/>
                <w:sz w:val="20"/>
                <w:szCs w:val="20"/>
                <w:lang w:eastAsia="hr-HR"/>
              </w:rPr>
              <w:t>Neenergetski</w:t>
            </w:r>
            <w:proofErr w:type="spellEnd"/>
            <w:r w:rsidRPr="00C05021">
              <w:rPr>
                <w:rFonts w:eastAsia="Times New Roman"/>
                <w:color w:val="000000"/>
                <w:sz w:val="20"/>
                <w:szCs w:val="20"/>
                <w:lang w:eastAsia="hr-HR"/>
              </w:rPr>
              <w:t xml:space="preserve"> sektor (uključujući sektor gospodarenje otpadom)</w:t>
            </w:r>
          </w:p>
        </w:tc>
        <w:tc>
          <w:tcPr>
            <w:tcW w:w="1417" w:type="dxa"/>
            <w:tcBorders>
              <w:top w:val="nil"/>
              <w:left w:val="nil"/>
              <w:bottom w:val="single" w:sz="8" w:space="0" w:color="auto"/>
              <w:right w:val="single" w:sz="8" w:space="0" w:color="auto"/>
            </w:tcBorders>
            <w:shd w:val="clear" w:color="000000" w:fill="DDEBF7"/>
            <w:noWrap/>
            <w:vAlign w:val="center"/>
            <w:hideMark/>
          </w:tcPr>
          <w:p w14:paraId="27E5DD69"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15.794.014</w:t>
            </w:r>
          </w:p>
        </w:tc>
        <w:tc>
          <w:tcPr>
            <w:tcW w:w="1172" w:type="dxa"/>
            <w:tcBorders>
              <w:top w:val="nil"/>
              <w:left w:val="nil"/>
              <w:bottom w:val="single" w:sz="8" w:space="0" w:color="auto"/>
              <w:right w:val="single" w:sz="8" w:space="0" w:color="auto"/>
            </w:tcBorders>
            <w:vAlign w:val="center"/>
            <w:hideMark/>
          </w:tcPr>
          <w:p w14:paraId="386BCD00"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7,88</w:t>
            </w:r>
            <w:r>
              <w:rPr>
                <w:rFonts w:eastAsia="Times New Roman"/>
                <w:color w:val="000000"/>
                <w:sz w:val="20"/>
                <w:szCs w:val="20"/>
                <w:lang w:eastAsia="hr-HR"/>
              </w:rPr>
              <w:t xml:space="preserve"> </w:t>
            </w:r>
            <w:r w:rsidRPr="00C05021">
              <w:rPr>
                <w:rFonts w:eastAsia="Times New Roman"/>
                <w:color w:val="000000"/>
                <w:sz w:val="20"/>
                <w:szCs w:val="20"/>
                <w:lang w:eastAsia="hr-HR"/>
              </w:rPr>
              <w:t>%</w:t>
            </w:r>
          </w:p>
        </w:tc>
        <w:tc>
          <w:tcPr>
            <w:tcW w:w="1805" w:type="dxa"/>
            <w:tcBorders>
              <w:top w:val="nil"/>
              <w:left w:val="nil"/>
              <w:bottom w:val="single" w:sz="8" w:space="0" w:color="auto"/>
              <w:right w:val="single" w:sz="8" w:space="0" w:color="auto"/>
            </w:tcBorders>
            <w:noWrap/>
            <w:vAlign w:val="center"/>
            <w:hideMark/>
          </w:tcPr>
          <w:p w14:paraId="1AA45A42"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11.015.993</w:t>
            </w:r>
          </w:p>
        </w:tc>
        <w:tc>
          <w:tcPr>
            <w:tcW w:w="1701" w:type="dxa"/>
            <w:tcBorders>
              <w:top w:val="nil"/>
              <w:left w:val="nil"/>
              <w:bottom w:val="single" w:sz="8" w:space="0" w:color="auto"/>
              <w:right w:val="single" w:sz="8" w:space="0" w:color="auto"/>
            </w:tcBorders>
            <w:noWrap/>
            <w:vAlign w:val="center"/>
            <w:hideMark/>
          </w:tcPr>
          <w:p w14:paraId="2E2766FA"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12.583.03</w:t>
            </w:r>
            <w:r>
              <w:rPr>
                <w:rFonts w:eastAsia="Times New Roman"/>
                <w:color w:val="000000"/>
                <w:sz w:val="20"/>
                <w:szCs w:val="20"/>
                <w:lang w:eastAsia="hr-HR"/>
              </w:rPr>
              <w:t>1</w:t>
            </w:r>
          </w:p>
        </w:tc>
        <w:tc>
          <w:tcPr>
            <w:tcW w:w="1503" w:type="dxa"/>
            <w:tcBorders>
              <w:top w:val="nil"/>
              <w:left w:val="nil"/>
              <w:bottom w:val="single" w:sz="8" w:space="0" w:color="auto"/>
              <w:right w:val="single" w:sz="4" w:space="0" w:color="auto"/>
            </w:tcBorders>
            <w:noWrap/>
            <w:vAlign w:val="center"/>
            <w:hideMark/>
          </w:tcPr>
          <w:p w14:paraId="38A645DC"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9.022.813,34</w:t>
            </w:r>
          </w:p>
        </w:tc>
        <w:tc>
          <w:tcPr>
            <w:tcW w:w="2182" w:type="dxa"/>
            <w:tcBorders>
              <w:top w:val="single" w:sz="4" w:space="0" w:color="auto"/>
              <w:left w:val="single" w:sz="4" w:space="0" w:color="auto"/>
              <w:bottom w:val="single" w:sz="4" w:space="0" w:color="auto"/>
              <w:right w:val="single" w:sz="4" w:space="0" w:color="auto"/>
            </w:tcBorders>
            <w:vAlign w:val="center"/>
          </w:tcPr>
          <w:p w14:paraId="5DD2D5DF" w14:textId="77777777" w:rsidR="00C228B7" w:rsidRPr="00C05021" w:rsidRDefault="00C228B7" w:rsidP="00106C4F">
            <w:pPr>
              <w:spacing w:after="0" w:line="240" w:lineRule="auto"/>
              <w:jc w:val="center"/>
              <w:rPr>
                <w:rFonts w:eastAsia="Times New Roman"/>
                <w:color w:val="000000"/>
                <w:sz w:val="20"/>
                <w:szCs w:val="20"/>
                <w:lang w:eastAsia="hr-HR"/>
              </w:rPr>
            </w:pPr>
            <w:r w:rsidRPr="0083328B">
              <w:rPr>
                <w:rFonts w:eastAsia="Times New Roman"/>
                <w:color w:val="000000"/>
                <w:sz w:val="20"/>
                <w:szCs w:val="20"/>
                <w:lang w:eastAsia="hr-HR"/>
              </w:rPr>
              <w:t>375.540,98</w:t>
            </w:r>
          </w:p>
        </w:tc>
        <w:tc>
          <w:tcPr>
            <w:tcW w:w="2127" w:type="dxa"/>
            <w:tcBorders>
              <w:top w:val="nil"/>
              <w:left w:val="single" w:sz="4" w:space="0" w:color="auto"/>
              <w:bottom w:val="single" w:sz="8" w:space="0" w:color="auto"/>
              <w:right w:val="single" w:sz="4" w:space="0" w:color="auto"/>
            </w:tcBorders>
            <w:noWrap/>
            <w:vAlign w:val="center"/>
            <w:hideMark/>
          </w:tcPr>
          <w:p w14:paraId="7C63BAC1"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9.009,93</w:t>
            </w:r>
          </w:p>
        </w:tc>
        <w:tc>
          <w:tcPr>
            <w:tcW w:w="2409" w:type="dxa"/>
            <w:tcBorders>
              <w:top w:val="single" w:sz="4" w:space="0" w:color="auto"/>
              <w:left w:val="single" w:sz="4" w:space="0" w:color="auto"/>
              <w:bottom w:val="single" w:sz="4" w:space="0" w:color="auto"/>
              <w:right w:val="single" w:sz="4" w:space="0" w:color="auto"/>
            </w:tcBorders>
          </w:tcPr>
          <w:p w14:paraId="190069CA" w14:textId="77777777" w:rsidR="00C228B7" w:rsidRPr="00D64DFF" w:rsidRDefault="00C228B7" w:rsidP="00106C4F">
            <w:pPr>
              <w:spacing w:after="0" w:line="240" w:lineRule="auto"/>
              <w:rPr>
                <w:rFonts w:eastAsia="Times New Roman"/>
                <w:color w:val="000000"/>
                <w:sz w:val="20"/>
                <w:szCs w:val="20"/>
                <w:lang w:eastAsia="hr-HR"/>
              </w:rPr>
            </w:pPr>
            <w:r>
              <w:rPr>
                <w:rFonts w:eastAsia="Times New Roman"/>
                <w:color w:val="000000"/>
                <w:sz w:val="20"/>
                <w:szCs w:val="20"/>
                <w:lang w:eastAsia="hr-HR"/>
              </w:rPr>
              <w:t xml:space="preserve">            </w:t>
            </w:r>
            <w:r w:rsidRPr="00D64DFF">
              <w:rPr>
                <w:rFonts w:eastAsia="Times New Roman"/>
                <w:color w:val="000000"/>
                <w:sz w:val="20"/>
                <w:szCs w:val="20"/>
                <w:lang w:eastAsia="hr-HR"/>
              </w:rPr>
              <w:t>384.550,91</w:t>
            </w:r>
          </w:p>
        </w:tc>
        <w:tc>
          <w:tcPr>
            <w:tcW w:w="2409" w:type="dxa"/>
            <w:tcBorders>
              <w:top w:val="nil"/>
              <w:left w:val="single" w:sz="4" w:space="0" w:color="auto"/>
              <w:bottom w:val="single" w:sz="8" w:space="0" w:color="auto"/>
              <w:right w:val="single" w:sz="8" w:space="0" w:color="auto"/>
            </w:tcBorders>
            <w:noWrap/>
            <w:vAlign w:val="center"/>
            <w:hideMark/>
          </w:tcPr>
          <w:p w14:paraId="3FE71E9C" w14:textId="77777777" w:rsidR="00C228B7" w:rsidRPr="00C05021" w:rsidRDefault="00C228B7" w:rsidP="00106C4F">
            <w:pPr>
              <w:spacing w:after="0" w:line="240" w:lineRule="auto"/>
              <w:jc w:val="center"/>
              <w:rPr>
                <w:rFonts w:eastAsia="Times New Roman"/>
                <w:sz w:val="20"/>
                <w:szCs w:val="20"/>
                <w:lang w:eastAsia="hr-HR"/>
              </w:rPr>
            </w:pPr>
            <w:r w:rsidRPr="00C05021">
              <w:rPr>
                <w:rFonts w:eastAsia="Times New Roman"/>
                <w:sz w:val="20"/>
                <w:szCs w:val="20"/>
                <w:lang w:eastAsia="hr-HR"/>
              </w:rPr>
              <w:t>9.031.823,27</w:t>
            </w:r>
          </w:p>
        </w:tc>
      </w:tr>
      <w:tr w:rsidR="00C228B7" w:rsidRPr="00C05021" w14:paraId="7FB64592" w14:textId="77777777" w:rsidTr="00106C4F">
        <w:trPr>
          <w:trHeight w:val="525"/>
          <w:jc w:val="center"/>
        </w:trPr>
        <w:tc>
          <w:tcPr>
            <w:tcW w:w="950" w:type="dxa"/>
            <w:tcBorders>
              <w:top w:val="nil"/>
              <w:left w:val="single" w:sz="8" w:space="0" w:color="auto"/>
              <w:bottom w:val="single" w:sz="8" w:space="0" w:color="auto"/>
              <w:right w:val="single" w:sz="8" w:space="0" w:color="auto"/>
            </w:tcBorders>
            <w:shd w:val="clear" w:color="000000" w:fill="DDEBF7"/>
            <w:noWrap/>
            <w:vAlign w:val="center"/>
            <w:hideMark/>
          </w:tcPr>
          <w:p w14:paraId="053A8D85"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ESIF</w:t>
            </w:r>
          </w:p>
        </w:tc>
        <w:tc>
          <w:tcPr>
            <w:tcW w:w="2868" w:type="dxa"/>
            <w:tcBorders>
              <w:top w:val="nil"/>
              <w:left w:val="nil"/>
              <w:bottom w:val="single" w:sz="8" w:space="0" w:color="auto"/>
              <w:right w:val="single" w:sz="8" w:space="0" w:color="auto"/>
            </w:tcBorders>
            <w:shd w:val="clear" w:color="000000" w:fill="DDEBF7"/>
            <w:vAlign w:val="center"/>
            <w:hideMark/>
          </w:tcPr>
          <w:p w14:paraId="3253D2ED"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Ukupno projekti ESI fondova i prioritetne mjere prilagodbe klimatskim promjenama</w:t>
            </w:r>
          </w:p>
        </w:tc>
        <w:tc>
          <w:tcPr>
            <w:tcW w:w="1417" w:type="dxa"/>
            <w:tcBorders>
              <w:top w:val="nil"/>
              <w:left w:val="nil"/>
              <w:bottom w:val="single" w:sz="8" w:space="0" w:color="auto"/>
              <w:right w:val="single" w:sz="8" w:space="0" w:color="auto"/>
            </w:tcBorders>
            <w:shd w:val="clear" w:color="000000" w:fill="DDEBF7"/>
            <w:noWrap/>
            <w:vAlign w:val="center"/>
            <w:hideMark/>
          </w:tcPr>
          <w:p w14:paraId="54CF9CFF"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25.217.33</w:t>
            </w:r>
            <w:r>
              <w:rPr>
                <w:rFonts w:eastAsia="Times New Roman"/>
                <w:b/>
                <w:bCs/>
                <w:color w:val="000000"/>
                <w:sz w:val="20"/>
                <w:szCs w:val="20"/>
                <w:lang w:eastAsia="hr-HR"/>
              </w:rPr>
              <w:t>4</w:t>
            </w:r>
          </w:p>
        </w:tc>
        <w:tc>
          <w:tcPr>
            <w:tcW w:w="1172" w:type="dxa"/>
            <w:tcBorders>
              <w:top w:val="nil"/>
              <w:left w:val="nil"/>
              <w:bottom w:val="single" w:sz="8" w:space="0" w:color="auto"/>
              <w:right w:val="single" w:sz="8" w:space="0" w:color="auto"/>
            </w:tcBorders>
            <w:vAlign w:val="center"/>
            <w:hideMark/>
          </w:tcPr>
          <w:p w14:paraId="3BC6C6BE"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12,58</w:t>
            </w:r>
            <w:r>
              <w:rPr>
                <w:rFonts w:eastAsia="Times New Roman"/>
                <w:color w:val="000000"/>
                <w:sz w:val="20"/>
                <w:szCs w:val="20"/>
                <w:lang w:eastAsia="hr-HR"/>
              </w:rPr>
              <w:t xml:space="preserve"> </w:t>
            </w:r>
            <w:r w:rsidRPr="00C05021">
              <w:rPr>
                <w:rFonts w:eastAsia="Times New Roman"/>
                <w:color w:val="000000"/>
                <w:sz w:val="20"/>
                <w:szCs w:val="20"/>
                <w:lang w:eastAsia="hr-HR"/>
              </w:rPr>
              <w:t>%</w:t>
            </w:r>
          </w:p>
        </w:tc>
        <w:tc>
          <w:tcPr>
            <w:tcW w:w="1805" w:type="dxa"/>
            <w:tcBorders>
              <w:top w:val="nil"/>
              <w:left w:val="nil"/>
              <w:bottom w:val="single" w:sz="8" w:space="0" w:color="auto"/>
              <w:right w:val="single" w:sz="8" w:space="0" w:color="auto"/>
            </w:tcBorders>
            <w:noWrap/>
            <w:vAlign w:val="center"/>
            <w:hideMark/>
          </w:tcPr>
          <w:p w14:paraId="53C33446"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22.430.15</w:t>
            </w:r>
            <w:r>
              <w:rPr>
                <w:rFonts w:eastAsia="Times New Roman"/>
                <w:b/>
                <w:bCs/>
                <w:color w:val="000000"/>
                <w:sz w:val="20"/>
                <w:szCs w:val="20"/>
                <w:lang w:eastAsia="hr-HR"/>
              </w:rPr>
              <w:t>5</w:t>
            </w:r>
          </w:p>
        </w:tc>
        <w:tc>
          <w:tcPr>
            <w:tcW w:w="1701" w:type="dxa"/>
            <w:tcBorders>
              <w:top w:val="nil"/>
              <w:left w:val="nil"/>
              <w:bottom w:val="single" w:sz="8" w:space="0" w:color="auto"/>
              <w:right w:val="single" w:sz="8" w:space="0" w:color="auto"/>
            </w:tcBorders>
            <w:noWrap/>
            <w:vAlign w:val="center"/>
            <w:hideMark/>
          </w:tcPr>
          <w:p w14:paraId="02B945B0"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25.620.87</w:t>
            </w:r>
            <w:r>
              <w:rPr>
                <w:rFonts w:eastAsia="Times New Roman"/>
                <w:color w:val="000000"/>
                <w:sz w:val="20"/>
                <w:szCs w:val="20"/>
                <w:lang w:eastAsia="hr-HR"/>
              </w:rPr>
              <w:t>1</w:t>
            </w:r>
          </w:p>
        </w:tc>
        <w:tc>
          <w:tcPr>
            <w:tcW w:w="1503" w:type="dxa"/>
            <w:tcBorders>
              <w:top w:val="nil"/>
              <w:left w:val="nil"/>
              <w:bottom w:val="single" w:sz="8" w:space="0" w:color="auto"/>
              <w:right w:val="single" w:sz="4" w:space="0" w:color="auto"/>
            </w:tcBorders>
            <w:noWrap/>
            <w:vAlign w:val="center"/>
            <w:hideMark/>
          </w:tcPr>
          <w:p w14:paraId="18B325C4"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17.919.430,18</w:t>
            </w:r>
          </w:p>
        </w:tc>
        <w:tc>
          <w:tcPr>
            <w:tcW w:w="2182" w:type="dxa"/>
            <w:tcBorders>
              <w:top w:val="single" w:sz="4" w:space="0" w:color="auto"/>
              <w:left w:val="single" w:sz="4" w:space="0" w:color="auto"/>
              <w:bottom w:val="single" w:sz="4" w:space="0" w:color="auto"/>
              <w:right w:val="single" w:sz="4" w:space="0" w:color="auto"/>
            </w:tcBorders>
            <w:vAlign w:val="center"/>
          </w:tcPr>
          <w:p w14:paraId="2BBC85DB" w14:textId="77777777" w:rsidR="00C228B7" w:rsidRPr="00C05021" w:rsidRDefault="00C228B7" w:rsidP="00106C4F">
            <w:pPr>
              <w:spacing w:after="0" w:line="240" w:lineRule="auto"/>
              <w:jc w:val="center"/>
              <w:rPr>
                <w:rFonts w:eastAsia="Times New Roman"/>
                <w:color w:val="000000"/>
                <w:sz w:val="20"/>
                <w:szCs w:val="20"/>
                <w:lang w:eastAsia="hr-HR"/>
              </w:rPr>
            </w:pPr>
            <w:r w:rsidRPr="0083328B">
              <w:rPr>
                <w:rFonts w:eastAsia="Times New Roman"/>
                <w:color w:val="000000"/>
                <w:sz w:val="20"/>
                <w:szCs w:val="20"/>
                <w:lang w:eastAsia="hr-HR"/>
              </w:rPr>
              <w:t>3.213.951,53</w:t>
            </w:r>
          </w:p>
        </w:tc>
        <w:tc>
          <w:tcPr>
            <w:tcW w:w="2127" w:type="dxa"/>
            <w:tcBorders>
              <w:top w:val="nil"/>
              <w:left w:val="single" w:sz="4" w:space="0" w:color="auto"/>
              <w:bottom w:val="single" w:sz="8" w:space="0" w:color="auto"/>
              <w:right w:val="single" w:sz="4" w:space="0" w:color="auto"/>
            </w:tcBorders>
            <w:noWrap/>
            <w:vAlign w:val="center"/>
            <w:hideMark/>
          </w:tcPr>
          <w:p w14:paraId="7A67EF22"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3.973.443,96</w:t>
            </w:r>
          </w:p>
        </w:tc>
        <w:tc>
          <w:tcPr>
            <w:tcW w:w="2409" w:type="dxa"/>
            <w:tcBorders>
              <w:top w:val="single" w:sz="4" w:space="0" w:color="auto"/>
              <w:left w:val="single" w:sz="4" w:space="0" w:color="auto"/>
              <w:bottom w:val="single" w:sz="4" w:space="0" w:color="auto"/>
              <w:right w:val="single" w:sz="4" w:space="0" w:color="auto"/>
            </w:tcBorders>
          </w:tcPr>
          <w:p w14:paraId="004DDD9F" w14:textId="77777777" w:rsidR="00C228B7" w:rsidRPr="00D64DFF" w:rsidRDefault="00C228B7" w:rsidP="00106C4F">
            <w:pPr>
              <w:spacing w:after="0" w:line="240" w:lineRule="auto"/>
              <w:jc w:val="center"/>
              <w:rPr>
                <w:rFonts w:eastAsia="Times New Roman"/>
                <w:color w:val="000000"/>
                <w:sz w:val="20"/>
                <w:szCs w:val="20"/>
                <w:lang w:eastAsia="hr-HR"/>
              </w:rPr>
            </w:pPr>
            <w:r w:rsidRPr="00D64DFF">
              <w:rPr>
                <w:rFonts w:eastAsia="Times New Roman"/>
                <w:color w:val="000000"/>
                <w:sz w:val="20"/>
                <w:szCs w:val="20"/>
                <w:lang w:eastAsia="hr-HR"/>
              </w:rPr>
              <w:t>7.187.395,49</w:t>
            </w:r>
          </w:p>
        </w:tc>
        <w:tc>
          <w:tcPr>
            <w:tcW w:w="2409" w:type="dxa"/>
            <w:tcBorders>
              <w:top w:val="nil"/>
              <w:left w:val="single" w:sz="4" w:space="0" w:color="auto"/>
              <w:bottom w:val="single" w:sz="8" w:space="0" w:color="auto"/>
              <w:right w:val="single" w:sz="8" w:space="0" w:color="auto"/>
            </w:tcBorders>
            <w:noWrap/>
            <w:vAlign w:val="center"/>
            <w:hideMark/>
          </w:tcPr>
          <w:p w14:paraId="463BD063" w14:textId="77777777" w:rsidR="00C228B7" w:rsidRPr="00C05021" w:rsidRDefault="00C228B7" w:rsidP="00106C4F">
            <w:pPr>
              <w:spacing w:after="0" w:line="240" w:lineRule="auto"/>
              <w:jc w:val="center"/>
              <w:rPr>
                <w:rFonts w:eastAsia="Times New Roman"/>
                <w:sz w:val="20"/>
                <w:szCs w:val="20"/>
                <w:lang w:eastAsia="hr-HR"/>
              </w:rPr>
            </w:pPr>
            <w:r w:rsidRPr="00C05021">
              <w:rPr>
                <w:rFonts w:eastAsia="Times New Roman"/>
                <w:sz w:val="20"/>
                <w:szCs w:val="20"/>
                <w:lang w:eastAsia="hr-HR"/>
              </w:rPr>
              <w:t>21.892.874,14</w:t>
            </w:r>
          </w:p>
        </w:tc>
      </w:tr>
      <w:tr w:rsidR="00C228B7" w:rsidRPr="00C05021" w14:paraId="7017D906" w14:textId="77777777" w:rsidTr="00106C4F">
        <w:trPr>
          <w:trHeight w:val="270"/>
          <w:jc w:val="center"/>
        </w:trPr>
        <w:tc>
          <w:tcPr>
            <w:tcW w:w="950" w:type="dxa"/>
            <w:tcBorders>
              <w:top w:val="nil"/>
              <w:left w:val="single" w:sz="8" w:space="0" w:color="auto"/>
              <w:bottom w:val="single" w:sz="8" w:space="0" w:color="auto"/>
              <w:right w:val="single" w:sz="8" w:space="0" w:color="auto"/>
            </w:tcBorders>
            <w:shd w:val="clear" w:color="000000" w:fill="DDEBF7"/>
            <w:noWrap/>
            <w:vAlign w:val="center"/>
            <w:hideMark/>
          </w:tcPr>
          <w:p w14:paraId="0E97F7F0"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IR</w:t>
            </w:r>
          </w:p>
        </w:tc>
        <w:tc>
          <w:tcPr>
            <w:tcW w:w="2868" w:type="dxa"/>
            <w:tcBorders>
              <w:top w:val="nil"/>
              <w:left w:val="nil"/>
              <w:bottom w:val="single" w:sz="8" w:space="0" w:color="auto"/>
              <w:right w:val="single" w:sz="8" w:space="0" w:color="auto"/>
            </w:tcBorders>
            <w:shd w:val="clear" w:color="000000" w:fill="DDEBF7"/>
            <w:vAlign w:val="center"/>
            <w:hideMark/>
          </w:tcPr>
          <w:p w14:paraId="770F7C70"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Istraživanje i razvoj i stručna podrška</w:t>
            </w:r>
          </w:p>
        </w:tc>
        <w:tc>
          <w:tcPr>
            <w:tcW w:w="1417" w:type="dxa"/>
            <w:tcBorders>
              <w:top w:val="nil"/>
              <w:left w:val="nil"/>
              <w:bottom w:val="single" w:sz="8" w:space="0" w:color="auto"/>
              <w:right w:val="single" w:sz="8" w:space="0" w:color="auto"/>
            </w:tcBorders>
            <w:shd w:val="clear" w:color="000000" w:fill="DDEBF7"/>
            <w:noWrap/>
            <w:vAlign w:val="center"/>
            <w:hideMark/>
          </w:tcPr>
          <w:p w14:paraId="2825D51E"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9.290.59</w:t>
            </w:r>
            <w:r>
              <w:rPr>
                <w:rFonts w:eastAsia="Times New Roman"/>
                <w:b/>
                <w:bCs/>
                <w:color w:val="000000"/>
                <w:sz w:val="20"/>
                <w:szCs w:val="20"/>
                <w:lang w:eastAsia="hr-HR"/>
              </w:rPr>
              <w:t>7</w:t>
            </w:r>
          </w:p>
        </w:tc>
        <w:tc>
          <w:tcPr>
            <w:tcW w:w="1172" w:type="dxa"/>
            <w:tcBorders>
              <w:top w:val="nil"/>
              <w:left w:val="nil"/>
              <w:bottom w:val="single" w:sz="8" w:space="0" w:color="auto"/>
              <w:right w:val="single" w:sz="8" w:space="0" w:color="auto"/>
            </w:tcBorders>
            <w:vAlign w:val="center"/>
            <w:hideMark/>
          </w:tcPr>
          <w:p w14:paraId="4E6DA043"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4,64</w:t>
            </w:r>
            <w:r>
              <w:rPr>
                <w:rFonts w:eastAsia="Times New Roman"/>
                <w:color w:val="000000"/>
                <w:sz w:val="20"/>
                <w:szCs w:val="20"/>
                <w:lang w:eastAsia="hr-HR"/>
              </w:rPr>
              <w:t xml:space="preserve"> </w:t>
            </w:r>
            <w:r w:rsidRPr="00C05021">
              <w:rPr>
                <w:rFonts w:eastAsia="Times New Roman"/>
                <w:color w:val="000000"/>
                <w:sz w:val="20"/>
                <w:szCs w:val="20"/>
                <w:lang w:eastAsia="hr-HR"/>
              </w:rPr>
              <w:t>%</w:t>
            </w:r>
          </w:p>
        </w:tc>
        <w:tc>
          <w:tcPr>
            <w:tcW w:w="1805" w:type="dxa"/>
            <w:tcBorders>
              <w:top w:val="nil"/>
              <w:left w:val="nil"/>
              <w:bottom w:val="single" w:sz="8" w:space="0" w:color="auto"/>
              <w:right w:val="single" w:sz="8" w:space="0" w:color="auto"/>
            </w:tcBorders>
            <w:noWrap/>
            <w:vAlign w:val="center"/>
            <w:hideMark/>
          </w:tcPr>
          <w:p w14:paraId="5EAA054D"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9.290.59</w:t>
            </w:r>
            <w:r>
              <w:rPr>
                <w:rFonts w:eastAsia="Times New Roman"/>
                <w:b/>
                <w:bCs/>
                <w:color w:val="000000"/>
                <w:sz w:val="20"/>
                <w:szCs w:val="20"/>
                <w:lang w:eastAsia="hr-HR"/>
              </w:rPr>
              <w:t>7</w:t>
            </w:r>
          </w:p>
        </w:tc>
        <w:tc>
          <w:tcPr>
            <w:tcW w:w="1701" w:type="dxa"/>
            <w:tcBorders>
              <w:top w:val="nil"/>
              <w:left w:val="nil"/>
              <w:bottom w:val="single" w:sz="8" w:space="0" w:color="auto"/>
              <w:right w:val="single" w:sz="8" w:space="0" w:color="auto"/>
            </w:tcBorders>
            <w:noWrap/>
            <w:vAlign w:val="center"/>
            <w:hideMark/>
          </w:tcPr>
          <w:p w14:paraId="3B9A4872"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10.612.19</w:t>
            </w:r>
            <w:r>
              <w:rPr>
                <w:rFonts w:eastAsia="Times New Roman"/>
                <w:color w:val="000000"/>
                <w:sz w:val="20"/>
                <w:szCs w:val="20"/>
                <w:lang w:eastAsia="hr-HR"/>
              </w:rPr>
              <w:t>5</w:t>
            </w:r>
          </w:p>
        </w:tc>
        <w:tc>
          <w:tcPr>
            <w:tcW w:w="1503" w:type="dxa"/>
            <w:tcBorders>
              <w:top w:val="nil"/>
              <w:left w:val="nil"/>
              <w:bottom w:val="single" w:sz="8" w:space="0" w:color="auto"/>
              <w:right w:val="single" w:sz="4" w:space="0" w:color="auto"/>
            </w:tcBorders>
            <w:noWrap/>
            <w:vAlign w:val="center"/>
            <w:hideMark/>
          </w:tcPr>
          <w:p w14:paraId="28D9FF5A"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4.203.636,12</w:t>
            </w:r>
          </w:p>
        </w:tc>
        <w:tc>
          <w:tcPr>
            <w:tcW w:w="2182" w:type="dxa"/>
            <w:tcBorders>
              <w:top w:val="single" w:sz="4" w:space="0" w:color="auto"/>
              <w:left w:val="single" w:sz="4" w:space="0" w:color="auto"/>
              <w:bottom w:val="single" w:sz="4" w:space="0" w:color="auto"/>
              <w:right w:val="single" w:sz="4" w:space="0" w:color="auto"/>
            </w:tcBorders>
            <w:vAlign w:val="center"/>
          </w:tcPr>
          <w:p w14:paraId="4E25F38A" w14:textId="77777777" w:rsidR="00C228B7" w:rsidRPr="00C05021" w:rsidRDefault="00C228B7" w:rsidP="00106C4F">
            <w:pPr>
              <w:spacing w:after="0" w:line="240" w:lineRule="auto"/>
              <w:jc w:val="center"/>
              <w:rPr>
                <w:rFonts w:eastAsia="Times New Roman"/>
                <w:color w:val="000000"/>
                <w:sz w:val="20"/>
                <w:szCs w:val="20"/>
                <w:lang w:eastAsia="hr-HR"/>
              </w:rPr>
            </w:pPr>
            <w:r w:rsidRPr="0083328B">
              <w:rPr>
                <w:rFonts w:eastAsia="Times New Roman"/>
                <w:color w:val="000000"/>
                <w:sz w:val="20"/>
                <w:szCs w:val="20"/>
                <w:lang w:eastAsia="hr-HR"/>
              </w:rPr>
              <w:t>39.484,61</w:t>
            </w:r>
          </w:p>
        </w:tc>
        <w:tc>
          <w:tcPr>
            <w:tcW w:w="2127" w:type="dxa"/>
            <w:tcBorders>
              <w:top w:val="nil"/>
              <w:left w:val="single" w:sz="4" w:space="0" w:color="auto"/>
              <w:bottom w:val="single" w:sz="8" w:space="0" w:color="auto"/>
              <w:right w:val="single" w:sz="4" w:space="0" w:color="auto"/>
            </w:tcBorders>
            <w:noWrap/>
            <w:vAlign w:val="center"/>
            <w:hideMark/>
          </w:tcPr>
          <w:p w14:paraId="20FCD8CA"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510.468,56</w:t>
            </w:r>
          </w:p>
        </w:tc>
        <w:tc>
          <w:tcPr>
            <w:tcW w:w="2409" w:type="dxa"/>
            <w:tcBorders>
              <w:top w:val="single" w:sz="4" w:space="0" w:color="auto"/>
              <w:left w:val="single" w:sz="4" w:space="0" w:color="auto"/>
              <w:bottom w:val="single" w:sz="4" w:space="0" w:color="auto"/>
              <w:right w:val="single" w:sz="4" w:space="0" w:color="auto"/>
            </w:tcBorders>
          </w:tcPr>
          <w:p w14:paraId="1F158731" w14:textId="77777777" w:rsidR="00C228B7" w:rsidRPr="00D64DFF" w:rsidRDefault="00C228B7" w:rsidP="00106C4F">
            <w:pPr>
              <w:spacing w:after="0" w:line="240" w:lineRule="auto"/>
              <w:jc w:val="center"/>
              <w:rPr>
                <w:rFonts w:eastAsia="Times New Roman"/>
                <w:color w:val="000000"/>
                <w:sz w:val="20"/>
                <w:szCs w:val="20"/>
                <w:lang w:eastAsia="hr-HR"/>
              </w:rPr>
            </w:pPr>
            <w:r w:rsidRPr="00D64DFF">
              <w:rPr>
                <w:rFonts w:eastAsia="Times New Roman"/>
                <w:color w:val="000000"/>
                <w:sz w:val="20"/>
                <w:szCs w:val="20"/>
                <w:lang w:eastAsia="hr-HR"/>
              </w:rPr>
              <w:t>549.953,17</w:t>
            </w:r>
          </w:p>
        </w:tc>
        <w:tc>
          <w:tcPr>
            <w:tcW w:w="2409" w:type="dxa"/>
            <w:tcBorders>
              <w:top w:val="nil"/>
              <w:left w:val="single" w:sz="4" w:space="0" w:color="auto"/>
              <w:bottom w:val="single" w:sz="8" w:space="0" w:color="auto"/>
              <w:right w:val="single" w:sz="8" w:space="0" w:color="auto"/>
            </w:tcBorders>
            <w:noWrap/>
            <w:vAlign w:val="center"/>
            <w:hideMark/>
          </w:tcPr>
          <w:p w14:paraId="17F0130F" w14:textId="77777777" w:rsidR="00C228B7" w:rsidRPr="00C05021" w:rsidRDefault="00C228B7" w:rsidP="00106C4F">
            <w:pPr>
              <w:spacing w:after="0" w:line="240" w:lineRule="auto"/>
              <w:jc w:val="center"/>
              <w:rPr>
                <w:rFonts w:eastAsia="Times New Roman"/>
                <w:sz w:val="20"/>
                <w:szCs w:val="20"/>
                <w:lang w:eastAsia="hr-HR"/>
              </w:rPr>
            </w:pPr>
            <w:r w:rsidRPr="00C05021">
              <w:rPr>
                <w:rFonts w:eastAsia="Times New Roman"/>
                <w:sz w:val="20"/>
                <w:szCs w:val="20"/>
                <w:lang w:eastAsia="hr-HR"/>
              </w:rPr>
              <w:t>4.714.104,68</w:t>
            </w:r>
          </w:p>
        </w:tc>
      </w:tr>
      <w:tr w:rsidR="00C228B7" w:rsidRPr="00C05021" w14:paraId="1A691E28" w14:textId="77777777" w:rsidTr="00106C4F">
        <w:trPr>
          <w:trHeight w:val="270"/>
          <w:jc w:val="center"/>
        </w:trPr>
        <w:tc>
          <w:tcPr>
            <w:tcW w:w="950" w:type="dxa"/>
            <w:tcBorders>
              <w:top w:val="nil"/>
              <w:left w:val="single" w:sz="8" w:space="0" w:color="auto"/>
              <w:bottom w:val="single" w:sz="8" w:space="0" w:color="auto"/>
              <w:right w:val="single" w:sz="8" w:space="0" w:color="auto"/>
            </w:tcBorders>
            <w:shd w:val="clear" w:color="000000" w:fill="DDEBF7"/>
            <w:noWrap/>
            <w:vAlign w:val="center"/>
            <w:hideMark/>
          </w:tcPr>
          <w:p w14:paraId="5DEDAC52"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TZ</w:t>
            </w:r>
          </w:p>
        </w:tc>
        <w:tc>
          <w:tcPr>
            <w:tcW w:w="2868" w:type="dxa"/>
            <w:tcBorders>
              <w:top w:val="nil"/>
              <w:left w:val="nil"/>
              <w:bottom w:val="single" w:sz="8" w:space="0" w:color="auto"/>
              <w:right w:val="single" w:sz="8" w:space="0" w:color="auto"/>
            </w:tcBorders>
            <w:shd w:val="clear" w:color="000000" w:fill="DDEBF7"/>
            <w:vAlign w:val="center"/>
            <w:hideMark/>
          </w:tcPr>
          <w:p w14:paraId="01F8AA6C"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Ukupno projekti s trećim zemljama</w:t>
            </w:r>
          </w:p>
        </w:tc>
        <w:tc>
          <w:tcPr>
            <w:tcW w:w="1417" w:type="dxa"/>
            <w:tcBorders>
              <w:top w:val="nil"/>
              <w:left w:val="nil"/>
              <w:bottom w:val="single" w:sz="8" w:space="0" w:color="auto"/>
              <w:right w:val="single" w:sz="8" w:space="0" w:color="auto"/>
            </w:tcBorders>
            <w:shd w:val="clear" w:color="000000" w:fill="DDEBF7"/>
            <w:noWrap/>
            <w:vAlign w:val="center"/>
            <w:hideMark/>
          </w:tcPr>
          <w:p w14:paraId="3BAEA28A"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2.654.456</w:t>
            </w:r>
          </w:p>
        </w:tc>
        <w:tc>
          <w:tcPr>
            <w:tcW w:w="1172" w:type="dxa"/>
            <w:tcBorders>
              <w:top w:val="nil"/>
              <w:left w:val="nil"/>
              <w:bottom w:val="single" w:sz="8" w:space="0" w:color="auto"/>
              <w:right w:val="single" w:sz="8" w:space="0" w:color="auto"/>
            </w:tcBorders>
            <w:vAlign w:val="center"/>
            <w:hideMark/>
          </w:tcPr>
          <w:p w14:paraId="359E4F8B"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1,32</w:t>
            </w:r>
            <w:r>
              <w:rPr>
                <w:rFonts w:eastAsia="Times New Roman"/>
                <w:color w:val="000000"/>
                <w:sz w:val="20"/>
                <w:szCs w:val="20"/>
                <w:lang w:eastAsia="hr-HR"/>
              </w:rPr>
              <w:t xml:space="preserve"> </w:t>
            </w:r>
            <w:r w:rsidRPr="00C05021">
              <w:rPr>
                <w:rFonts w:eastAsia="Times New Roman"/>
                <w:color w:val="000000"/>
                <w:sz w:val="20"/>
                <w:szCs w:val="20"/>
                <w:lang w:eastAsia="hr-HR"/>
              </w:rPr>
              <w:t>%</w:t>
            </w:r>
          </w:p>
        </w:tc>
        <w:tc>
          <w:tcPr>
            <w:tcW w:w="1805" w:type="dxa"/>
            <w:tcBorders>
              <w:top w:val="nil"/>
              <w:left w:val="nil"/>
              <w:bottom w:val="single" w:sz="8" w:space="0" w:color="auto"/>
              <w:right w:val="single" w:sz="8" w:space="0" w:color="auto"/>
            </w:tcBorders>
            <w:noWrap/>
            <w:vAlign w:val="center"/>
            <w:hideMark/>
          </w:tcPr>
          <w:p w14:paraId="155E55F3"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66.361</w:t>
            </w:r>
          </w:p>
        </w:tc>
        <w:tc>
          <w:tcPr>
            <w:tcW w:w="1701" w:type="dxa"/>
            <w:tcBorders>
              <w:top w:val="nil"/>
              <w:left w:val="nil"/>
              <w:bottom w:val="single" w:sz="8" w:space="0" w:color="auto"/>
              <w:right w:val="single" w:sz="8" w:space="0" w:color="auto"/>
            </w:tcBorders>
            <w:noWrap/>
            <w:vAlign w:val="center"/>
            <w:hideMark/>
          </w:tcPr>
          <w:p w14:paraId="5F140592"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75.801</w:t>
            </w:r>
          </w:p>
        </w:tc>
        <w:tc>
          <w:tcPr>
            <w:tcW w:w="1503" w:type="dxa"/>
            <w:tcBorders>
              <w:top w:val="nil"/>
              <w:left w:val="nil"/>
              <w:bottom w:val="single" w:sz="8" w:space="0" w:color="auto"/>
              <w:right w:val="single" w:sz="4" w:space="0" w:color="auto"/>
            </w:tcBorders>
            <w:noWrap/>
            <w:vAlign w:val="center"/>
            <w:hideMark/>
          </w:tcPr>
          <w:p w14:paraId="1E269805"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0</w:t>
            </w:r>
          </w:p>
        </w:tc>
        <w:tc>
          <w:tcPr>
            <w:tcW w:w="2182" w:type="dxa"/>
            <w:tcBorders>
              <w:top w:val="single" w:sz="4" w:space="0" w:color="auto"/>
              <w:left w:val="single" w:sz="4" w:space="0" w:color="auto"/>
              <w:bottom w:val="single" w:sz="4" w:space="0" w:color="auto"/>
              <w:right w:val="single" w:sz="4" w:space="0" w:color="auto"/>
            </w:tcBorders>
            <w:vAlign w:val="center"/>
          </w:tcPr>
          <w:p w14:paraId="49A2B376" w14:textId="77777777" w:rsidR="00C228B7" w:rsidRPr="00C05021" w:rsidRDefault="00C228B7" w:rsidP="00106C4F">
            <w:pPr>
              <w:spacing w:after="0" w:line="240" w:lineRule="auto"/>
              <w:jc w:val="center"/>
              <w:rPr>
                <w:rFonts w:eastAsia="Times New Roman"/>
                <w:color w:val="000000"/>
                <w:sz w:val="20"/>
                <w:szCs w:val="20"/>
                <w:lang w:eastAsia="hr-HR"/>
              </w:rPr>
            </w:pPr>
            <w:r w:rsidRPr="0083328B">
              <w:rPr>
                <w:rFonts w:eastAsia="Times New Roman"/>
                <w:color w:val="000000"/>
                <w:sz w:val="20"/>
                <w:szCs w:val="20"/>
                <w:lang w:eastAsia="hr-HR"/>
              </w:rPr>
              <w:t>0,00</w:t>
            </w:r>
          </w:p>
        </w:tc>
        <w:tc>
          <w:tcPr>
            <w:tcW w:w="2127" w:type="dxa"/>
            <w:tcBorders>
              <w:top w:val="nil"/>
              <w:left w:val="single" w:sz="4" w:space="0" w:color="auto"/>
              <w:bottom w:val="single" w:sz="8" w:space="0" w:color="auto"/>
              <w:right w:val="single" w:sz="4" w:space="0" w:color="auto"/>
            </w:tcBorders>
            <w:noWrap/>
            <w:vAlign w:val="center"/>
            <w:hideMark/>
          </w:tcPr>
          <w:p w14:paraId="01CB7FD3"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0</w:t>
            </w:r>
          </w:p>
        </w:tc>
        <w:tc>
          <w:tcPr>
            <w:tcW w:w="2409" w:type="dxa"/>
            <w:tcBorders>
              <w:top w:val="single" w:sz="4" w:space="0" w:color="auto"/>
              <w:left w:val="single" w:sz="4" w:space="0" w:color="auto"/>
              <w:bottom w:val="single" w:sz="4" w:space="0" w:color="auto"/>
              <w:right w:val="single" w:sz="4" w:space="0" w:color="auto"/>
            </w:tcBorders>
          </w:tcPr>
          <w:p w14:paraId="76F37FD7" w14:textId="77777777" w:rsidR="00C228B7" w:rsidRPr="00D64DFF" w:rsidRDefault="00C228B7" w:rsidP="00106C4F">
            <w:pPr>
              <w:spacing w:after="0" w:line="240" w:lineRule="auto"/>
              <w:jc w:val="center"/>
              <w:rPr>
                <w:rFonts w:eastAsia="Times New Roman"/>
                <w:color w:val="000000"/>
                <w:sz w:val="20"/>
                <w:szCs w:val="20"/>
                <w:lang w:eastAsia="hr-HR"/>
              </w:rPr>
            </w:pPr>
          </w:p>
        </w:tc>
        <w:tc>
          <w:tcPr>
            <w:tcW w:w="2409" w:type="dxa"/>
            <w:tcBorders>
              <w:top w:val="nil"/>
              <w:left w:val="single" w:sz="4" w:space="0" w:color="auto"/>
              <w:bottom w:val="single" w:sz="8" w:space="0" w:color="auto"/>
              <w:right w:val="single" w:sz="8" w:space="0" w:color="auto"/>
            </w:tcBorders>
            <w:noWrap/>
            <w:vAlign w:val="center"/>
            <w:hideMark/>
          </w:tcPr>
          <w:p w14:paraId="767C522A" w14:textId="77777777" w:rsidR="00C228B7" w:rsidRPr="00C05021" w:rsidRDefault="00C228B7" w:rsidP="00106C4F">
            <w:pPr>
              <w:spacing w:after="0" w:line="240" w:lineRule="auto"/>
              <w:jc w:val="center"/>
              <w:rPr>
                <w:rFonts w:eastAsia="Times New Roman"/>
                <w:sz w:val="20"/>
                <w:szCs w:val="20"/>
                <w:lang w:eastAsia="hr-HR"/>
              </w:rPr>
            </w:pPr>
            <w:r w:rsidRPr="00C05021">
              <w:rPr>
                <w:rFonts w:eastAsia="Times New Roman"/>
                <w:sz w:val="20"/>
                <w:szCs w:val="20"/>
                <w:lang w:eastAsia="hr-HR"/>
              </w:rPr>
              <w:t>0</w:t>
            </w:r>
          </w:p>
        </w:tc>
      </w:tr>
      <w:tr w:rsidR="00C228B7" w:rsidRPr="00C05021" w14:paraId="5616D8BE" w14:textId="77777777" w:rsidTr="00106C4F">
        <w:trPr>
          <w:trHeight w:val="270"/>
          <w:jc w:val="center"/>
        </w:trPr>
        <w:tc>
          <w:tcPr>
            <w:tcW w:w="950" w:type="dxa"/>
            <w:tcBorders>
              <w:top w:val="nil"/>
              <w:left w:val="single" w:sz="8" w:space="0" w:color="auto"/>
              <w:bottom w:val="single" w:sz="8" w:space="0" w:color="auto"/>
              <w:right w:val="single" w:sz="8" w:space="0" w:color="auto"/>
            </w:tcBorders>
            <w:shd w:val="clear" w:color="000000" w:fill="DDEBF7"/>
            <w:noWrap/>
            <w:vAlign w:val="center"/>
            <w:hideMark/>
          </w:tcPr>
          <w:p w14:paraId="4DB6929D"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CGO</w:t>
            </w:r>
          </w:p>
        </w:tc>
        <w:tc>
          <w:tcPr>
            <w:tcW w:w="2868" w:type="dxa"/>
            <w:tcBorders>
              <w:top w:val="nil"/>
              <w:left w:val="nil"/>
              <w:bottom w:val="single" w:sz="8" w:space="0" w:color="auto"/>
              <w:right w:val="single" w:sz="8" w:space="0" w:color="auto"/>
            </w:tcBorders>
            <w:shd w:val="clear" w:color="000000" w:fill="DDEBF7"/>
            <w:vAlign w:val="center"/>
            <w:hideMark/>
          </w:tcPr>
          <w:p w14:paraId="70235FB5"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Centri za gospodarenje otpadom</w:t>
            </w:r>
          </w:p>
        </w:tc>
        <w:tc>
          <w:tcPr>
            <w:tcW w:w="1417" w:type="dxa"/>
            <w:tcBorders>
              <w:top w:val="nil"/>
              <w:left w:val="nil"/>
              <w:bottom w:val="single" w:sz="8" w:space="0" w:color="auto"/>
              <w:right w:val="single" w:sz="8" w:space="0" w:color="auto"/>
            </w:tcBorders>
            <w:shd w:val="clear" w:color="000000" w:fill="DDEBF7"/>
            <w:noWrap/>
            <w:vAlign w:val="center"/>
            <w:hideMark/>
          </w:tcPr>
          <w:p w14:paraId="181B9852"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47.116.59</w:t>
            </w:r>
            <w:r>
              <w:rPr>
                <w:rFonts w:eastAsia="Times New Roman"/>
                <w:b/>
                <w:bCs/>
                <w:color w:val="000000"/>
                <w:sz w:val="20"/>
                <w:szCs w:val="20"/>
                <w:lang w:eastAsia="hr-HR"/>
              </w:rPr>
              <w:t>7</w:t>
            </w:r>
          </w:p>
        </w:tc>
        <w:tc>
          <w:tcPr>
            <w:tcW w:w="1172" w:type="dxa"/>
            <w:tcBorders>
              <w:top w:val="nil"/>
              <w:left w:val="nil"/>
              <w:bottom w:val="single" w:sz="8" w:space="0" w:color="auto"/>
              <w:right w:val="single" w:sz="8" w:space="0" w:color="auto"/>
            </w:tcBorders>
            <w:vAlign w:val="center"/>
            <w:hideMark/>
          </w:tcPr>
          <w:p w14:paraId="75AF351D"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23,51</w:t>
            </w:r>
            <w:r>
              <w:rPr>
                <w:rFonts w:eastAsia="Times New Roman"/>
                <w:color w:val="000000"/>
                <w:sz w:val="20"/>
                <w:szCs w:val="20"/>
                <w:lang w:eastAsia="hr-HR"/>
              </w:rPr>
              <w:t xml:space="preserve"> </w:t>
            </w:r>
            <w:r w:rsidRPr="00C05021">
              <w:rPr>
                <w:rFonts w:eastAsia="Times New Roman"/>
                <w:color w:val="000000"/>
                <w:sz w:val="20"/>
                <w:szCs w:val="20"/>
                <w:lang w:eastAsia="hr-HR"/>
              </w:rPr>
              <w:t>%</w:t>
            </w:r>
          </w:p>
        </w:tc>
        <w:tc>
          <w:tcPr>
            <w:tcW w:w="1805" w:type="dxa"/>
            <w:tcBorders>
              <w:top w:val="nil"/>
              <w:left w:val="nil"/>
              <w:bottom w:val="single" w:sz="8" w:space="0" w:color="auto"/>
              <w:right w:val="single" w:sz="8" w:space="0" w:color="auto"/>
            </w:tcBorders>
            <w:noWrap/>
            <w:vAlign w:val="center"/>
            <w:hideMark/>
          </w:tcPr>
          <w:p w14:paraId="5D9583A2"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43.134.91</w:t>
            </w:r>
            <w:r>
              <w:rPr>
                <w:rFonts w:eastAsia="Times New Roman"/>
                <w:b/>
                <w:bCs/>
                <w:color w:val="000000"/>
                <w:sz w:val="20"/>
                <w:szCs w:val="20"/>
                <w:lang w:eastAsia="hr-HR"/>
              </w:rPr>
              <w:t>3</w:t>
            </w:r>
          </w:p>
        </w:tc>
        <w:tc>
          <w:tcPr>
            <w:tcW w:w="1701" w:type="dxa"/>
            <w:tcBorders>
              <w:top w:val="nil"/>
              <w:left w:val="nil"/>
              <w:bottom w:val="single" w:sz="8" w:space="0" w:color="auto"/>
              <w:right w:val="single" w:sz="8" w:space="0" w:color="auto"/>
            </w:tcBorders>
            <w:noWrap/>
            <w:vAlign w:val="center"/>
            <w:hideMark/>
          </w:tcPr>
          <w:p w14:paraId="4BE7BF7C" w14:textId="77777777" w:rsidR="00C228B7" w:rsidRPr="00C05021" w:rsidRDefault="00C228B7" w:rsidP="00106C4F">
            <w:pPr>
              <w:spacing w:after="0" w:line="240" w:lineRule="auto"/>
              <w:jc w:val="center"/>
              <w:rPr>
                <w:rFonts w:eastAsia="Times New Roman"/>
                <w:color w:val="000000"/>
                <w:sz w:val="20"/>
                <w:szCs w:val="20"/>
                <w:lang w:eastAsia="hr-HR"/>
              </w:rPr>
            </w:pPr>
            <w:r>
              <w:rPr>
                <w:rFonts w:eastAsia="Times New Roman"/>
                <w:color w:val="000000"/>
                <w:sz w:val="20"/>
                <w:szCs w:val="20"/>
                <w:lang w:eastAsia="hr-HR"/>
              </w:rPr>
              <w:t>43.822.825</w:t>
            </w:r>
          </w:p>
        </w:tc>
        <w:tc>
          <w:tcPr>
            <w:tcW w:w="1503" w:type="dxa"/>
            <w:tcBorders>
              <w:top w:val="nil"/>
              <w:left w:val="nil"/>
              <w:bottom w:val="single" w:sz="8" w:space="0" w:color="auto"/>
              <w:right w:val="single" w:sz="4" w:space="0" w:color="auto"/>
            </w:tcBorders>
            <w:noWrap/>
            <w:vAlign w:val="center"/>
            <w:hideMark/>
          </w:tcPr>
          <w:p w14:paraId="14A9C587"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17.379.196,27</w:t>
            </w:r>
          </w:p>
        </w:tc>
        <w:tc>
          <w:tcPr>
            <w:tcW w:w="2182" w:type="dxa"/>
            <w:tcBorders>
              <w:top w:val="single" w:sz="4" w:space="0" w:color="auto"/>
              <w:left w:val="single" w:sz="4" w:space="0" w:color="auto"/>
              <w:bottom w:val="single" w:sz="4" w:space="0" w:color="auto"/>
              <w:right w:val="single" w:sz="4" w:space="0" w:color="auto"/>
            </w:tcBorders>
            <w:vAlign w:val="center"/>
          </w:tcPr>
          <w:p w14:paraId="500B787A" w14:textId="77777777" w:rsidR="00C228B7" w:rsidRPr="00C05021" w:rsidRDefault="00C228B7" w:rsidP="00106C4F">
            <w:pPr>
              <w:spacing w:after="0" w:line="240" w:lineRule="auto"/>
              <w:jc w:val="center"/>
              <w:rPr>
                <w:rFonts w:eastAsia="Times New Roman"/>
                <w:color w:val="000000"/>
                <w:sz w:val="20"/>
                <w:szCs w:val="20"/>
                <w:lang w:eastAsia="hr-HR"/>
              </w:rPr>
            </w:pPr>
            <w:r w:rsidRPr="0083328B">
              <w:rPr>
                <w:rFonts w:eastAsia="Times New Roman"/>
                <w:color w:val="000000"/>
                <w:sz w:val="20"/>
                <w:szCs w:val="20"/>
                <w:lang w:eastAsia="hr-HR"/>
              </w:rPr>
              <w:t>8.849.338,79</w:t>
            </w:r>
          </w:p>
        </w:tc>
        <w:tc>
          <w:tcPr>
            <w:tcW w:w="2127" w:type="dxa"/>
            <w:tcBorders>
              <w:top w:val="nil"/>
              <w:left w:val="single" w:sz="4" w:space="0" w:color="auto"/>
              <w:bottom w:val="single" w:sz="8" w:space="0" w:color="auto"/>
              <w:right w:val="single" w:sz="4" w:space="0" w:color="auto"/>
            </w:tcBorders>
            <w:noWrap/>
            <w:vAlign w:val="center"/>
            <w:hideMark/>
          </w:tcPr>
          <w:p w14:paraId="6319AF25" w14:textId="77777777" w:rsidR="00C228B7" w:rsidRPr="00C05021" w:rsidRDefault="00C228B7" w:rsidP="00106C4F">
            <w:pPr>
              <w:spacing w:after="0" w:line="240" w:lineRule="auto"/>
              <w:jc w:val="center"/>
              <w:rPr>
                <w:rFonts w:eastAsia="Times New Roman"/>
                <w:color w:val="000000"/>
                <w:sz w:val="20"/>
                <w:szCs w:val="20"/>
                <w:lang w:eastAsia="hr-HR"/>
              </w:rPr>
            </w:pPr>
            <w:r w:rsidRPr="00C05021">
              <w:rPr>
                <w:rFonts w:eastAsia="Times New Roman"/>
                <w:color w:val="000000"/>
                <w:sz w:val="20"/>
                <w:szCs w:val="20"/>
                <w:lang w:eastAsia="hr-HR"/>
              </w:rPr>
              <w:t>7.920.615,48</w:t>
            </w:r>
          </w:p>
        </w:tc>
        <w:tc>
          <w:tcPr>
            <w:tcW w:w="2409" w:type="dxa"/>
            <w:tcBorders>
              <w:top w:val="single" w:sz="4" w:space="0" w:color="auto"/>
              <w:left w:val="single" w:sz="4" w:space="0" w:color="auto"/>
              <w:bottom w:val="single" w:sz="4" w:space="0" w:color="auto"/>
              <w:right w:val="single" w:sz="4" w:space="0" w:color="auto"/>
            </w:tcBorders>
          </w:tcPr>
          <w:p w14:paraId="6B60FB93" w14:textId="77777777" w:rsidR="00C228B7" w:rsidRPr="00D64DFF" w:rsidRDefault="00C228B7" w:rsidP="00106C4F">
            <w:pPr>
              <w:spacing w:after="0" w:line="240" w:lineRule="auto"/>
              <w:jc w:val="center"/>
              <w:rPr>
                <w:rFonts w:eastAsia="Times New Roman"/>
                <w:color w:val="000000"/>
                <w:sz w:val="20"/>
                <w:szCs w:val="20"/>
                <w:lang w:eastAsia="hr-HR"/>
              </w:rPr>
            </w:pPr>
            <w:r w:rsidRPr="00D64DFF">
              <w:rPr>
                <w:rFonts w:eastAsia="Times New Roman"/>
                <w:color w:val="000000"/>
                <w:sz w:val="20"/>
                <w:szCs w:val="20"/>
                <w:lang w:eastAsia="hr-HR"/>
              </w:rPr>
              <w:t>16.769.954,27</w:t>
            </w:r>
          </w:p>
        </w:tc>
        <w:tc>
          <w:tcPr>
            <w:tcW w:w="2409" w:type="dxa"/>
            <w:tcBorders>
              <w:top w:val="nil"/>
              <w:left w:val="single" w:sz="4" w:space="0" w:color="auto"/>
              <w:bottom w:val="single" w:sz="8" w:space="0" w:color="auto"/>
              <w:right w:val="single" w:sz="8" w:space="0" w:color="auto"/>
            </w:tcBorders>
            <w:noWrap/>
            <w:vAlign w:val="center"/>
            <w:hideMark/>
          </w:tcPr>
          <w:p w14:paraId="02A02E24" w14:textId="77777777" w:rsidR="00C228B7" w:rsidRPr="00C05021" w:rsidRDefault="00C228B7" w:rsidP="00106C4F">
            <w:pPr>
              <w:spacing w:after="0" w:line="240" w:lineRule="auto"/>
              <w:jc w:val="center"/>
              <w:rPr>
                <w:rFonts w:eastAsia="Times New Roman"/>
                <w:sz w:val="20"/>
                <w:szCs w:val="20"/>
                <w:lang w:eastAsia="hr-HR"/>
              </w:rPr>
            </w:pPr>
            <w:r w:rsidRPr="00C05021">
              <w:rPr>
                <w:rFonts w:eastAsia="Times New Roman"/>
                <w:sz w:val="20"/>
                <w:szCs w:val="20"/>
                <w:lang w:eastAsia="hr-HR"/>
              </w:rPr>
              <w:t>25.299.811,75</w:t>
            </w:r>
          </w:p>
        </w:tc>
      </w:tr>
      <w:tr w:rsidR="00C228B7" w:rsidRPr="00C05021" w14:paraId="5813CB71" w14:textId="77777777" w:rsidTr="00106C4F">
        <w:trPr>
          <w:trHeight w:val="330"/>
          <w:jc w:val="center"/>
        </w:trPr>
        <w:tc>
          <w:tcPr>
            <w:tcW w:w="950" w:type="dxa"/>
            <w:tcBorders>
              <w:top w:val="nil"/>
              <w:left w:val="single" w:sz="8" w:space="0" w:color="auto"/>
              <w:bottom w:val="single" w:sz="8" w:space="0" w:color="auto"/>
              <w:right w:val="single" w:sz="8" w:space="0" w:color="auto"/>
            </w:tcBorders>
            <w:shd w:val="clear" w:color="000000" w:fill="9BC2E6"/>
            <w:noWrap/>
            <w:vAlign w:val="center"/>
            <w:hideMark/>
          </w:tcPr>
          <w:p w14:paraId="4585DDAC" w14:textId="77777777" w:rsidR="00C228B7" w:rsidRPr="00C05021" w:rsidRDefault="00C228B7" w:rsidP="00106C4F">
            <w:pPr>
              <w:spacing w:after="0" w:line="240" w:lineRule="auto"/>
              <w:jc w:val="left"/>
              <w:rPr>
                <w:rFonts w:eastAsia="Times New Roman"/>
                <w:lang w:eastAsia="hr-HR"/>
              </w:rPr>
            </w:pPr>
            <w:r w:rsidRPr="00C05021">
              <w:rPr>
                <w:rFonts w:eastAsia="Times New Roman"/>
                <w:lang w:eastAsia="hr-HR"/>
              </w:rPr>
              <w:t> </w:t>
            </w:r>
          </w:p>
        </w:tc>
        <w:tc>
          <w:tcPr>
            <w:tcW w:w="2868" w:type="dxa"/>
            <w:tcBorders>
              <w:top w:val="nil"/>
              <w:left w:val="nil"/>
              <w:bottom w:val="single" w:sz="8" w:space="0" w:color="auto"/>
              <w:right w:val="double" w:sz="6" w:space="0" w:color="auto"/>
            </w:tcBorders>
            <w:shd w:val="clear" w:color="000000" w:fill="9BC2E6"/>
            <w:noWrap/>
            <w:vAlign w:val="center"/>
            <w:hideMark/>
          </w:tcPr>
          <w:p w14:paraId="3B95E880"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UKUPNO</w:t>
            </w:r>
          </w:p>
        </w:tc>
        <w:tc>
          <w:tcPr>
            <w:tcW w:w="1417" w:type="dxa"/>
            <w:tcBorders>
              <w:top w:val="nil"/>
              <w:left w:val="nil"/>
              <w:bottom w:val="single" w:sz="8" w:space="0" w:color="auto"/>
              <w:right w:val="single" w:sz="8" w:space="0" w:color="auto"/>
            </w:tcBorders>
            <w:shd w:val="clear" w:color="000000" w:fill="9BC2E6"/>
            <w:noWrap/>
            <w:vAlign w:val="center"/>
            <w:hideMark/>
          </w:tcPr>
          <w:p w14:paraId="01054840"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200.411.44</w:t>
            </w:r>
            <w:r>
              <w:rPr>
                <w:rFonts w:eastAsia="Times New Roman"/>
                <w:b/>
                <w:bCs/>
                <w:color w:val="000000"/>
                <w:sz w:val="20"/>
                <w:szCs w:val="20"/>
                <w:lang w:eastAsia="hr-HR"/>
              </w:rPr>
              <w:t>1</w:t>
            </w:r>
          </w:p>
        </w:tc>
        <w:tc>
          <w:tcPr>
            <w:tcW w:w="1172" w:type="dxa"/>
            <w:tcBorders>
              <w:top w:val="nil"/>
              <w:left w:val="nil"/>
              <w:bottom w:val="single" w:sz="8" w:space="0" w:color="auto"/>
              <w:right w:val="double" w:sz="6" w:space="0" w:color="auto"/>
            </w:tcBorders>
            <w:shd w:val="clear" w:color="000000" w:fill="9BC2E6"/>
            <w:vAlign w:val="center"/>
            <w:hideMark/>
          </w:tcPr>
          <w:p w14:paraId="42B1793F"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100</w:t>
            </w:r>
            <w:r>
              <w:rPr>
                <w:rFonts w:eastAsia="Times New Roman"/>
                <w:b/>
                <w:bCs/>
                <w:color w:val="000000"/>
                <w:sz w:val="20"/>
                <w:szCs w:val="20"/>
                <w:lang w:eastAsia="hr-HR"/>
              </w:rPr>
              <w:t xml:space="preserve"> </w:t>
            </w:r>
            <w:r w:rsidRPr="00C05021">
              <w:rPr>
                <w:rFonts w:eastAsia="Times New Roman"/>
                <w:b/>
                <w:bCs/>
                <w:color w:val="000000"/>
                <w:sz w:val="20"/>
                <w:szCs w:val="20"/>
                <w:lang w:eastAsia="hr-HR"/>
              </w:rPr>
              <w:t>%</w:t>
            </w:r>
          </w:p>
        </w:tc>
        <w:tc>
          <w:tcPr>
            <w:tcW w:w="1805" w:type="dxa"/>
            <w:tcBorders>
              <w:top w:val="nil"/>
              <w:left w:val="nil"/>
              <w:bottom w:val="single" w:sz="8" w:space="0" w:color="auto"/>
              <w:right w:val="single" w:sz="8" w:space="0" w:color="auto"/>
            </w:tcBorders>
            <w:shd w:val="clear" w:color="000000" w:fill="9BC2E6"/>
            <w:noWrap/>
            <w:vAlign w:val="center"/>
            <w:hideMark/>
          </w:tcPr>
          <w:p w14:paraId="2D852FFE"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2</w:t>
            </w:r>
            <w:r>
              <w:rPr>
                <w:rFonts w:eastAsia="Times New Roman"/>
                <w:b/>
                <w:bCs/>
                <w:color w:val="000000"/>
                <w:sz w:val="20"/>
                <w:szCs w:val="20"/>
                <w:lang w:eastAsia="hr-HR"/>
              </w:rPr>
              <w:t>00</w:t>
            </w:r>
            <w:r w:rsidRPr="00C05021">
              <w:rPr>
                <w:rFonts w:eastAsia="Times New Roman"/>
                <w:b/>
                <w:bCs/>
                <w:color w:val="000000"/>
                <w:sz w:val="20"/>
                <w:szCs w:val="20"/>
                <w:lang w:eastAsia="hr-HR"/>
              </w:rPr>
              <w:t>.</w:t>
            </w:r>
            <w:r>
              <w:rPr>
                <w:rFonts w:eastAsia="Times New Roman"/>
                <w:b/>
                <w:bCs/>
                <w:color w:val="000000"/>
                <w:sz w:val="20"/>
                <w:szCs w:val="20"/>
                <w:lang w:eastAsia="hr-HR"/>
              </w:rPr>
              <w:t>411.</w:t>
            </w:r>
            <w:r w:rsidRPr="00C05021">
              <w:rPr>
                <w:rFonts w:eastAsia="Times New Roman"/>
                <w:b/>
                <w:bCs/>
                <w:color w:val="000000"/>
                <w:sz w:val="20"/>
                <w:szCs w:val="20"/>
                <w:lang w:eastAsia="hr-HR"/>
              </w:rPr>
              <w:t>44</w:t>
            </w:r>
            <w:r>
              <w:rPr>
                <w:rFonts w:eastAsia="Times New Roman"/>
                <w:b/>
                <w:bCs/>
                <w:color w:val="000000"/>
                <w:sz w:val="20"/>
                <w:szCs w:val="20"/>
                <w:lang w:eastAsia="hr-HR"/>
              </w:rPr>
              <w:t>1</w:t>
            </w:r>
          </w:p>
        </w:tc>
        <w:tc>
          <w:tcPr>
            <w:tcW w:w="1701" w:type="dxa"/>
            <w:tcBorders>
              <w:top w:val="nil"/>
              <w:left w:val="nil"/>
              <w:bottom w:val="single" w:sz="8" w:space="0" w:color="auto"/>
              <w:right w:val="single" w:sz="8" w:space="0" w:color="auto"/>
            </w:tcBorders>
            <w:shd w:val="clear" w:color="000000" w:fill="9BC2E6"/>
            <w:noWrap/>
            <w:vAlign w:val="center"/>
            <w:hideMark/>
          </w:tcPr>
          <w:p w14:paraId="698EFADD"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203.775.17</w:t>
            </w:r>
            <w:r>
              <w:rPr>
                <w:rFonts w:eastAsia="Times New Roman"/>
                <w:b/>
                <w:bCs/>
                <w:color w:val="000000"/>
                <w:sz w:val="20"/>
                <w:szCs w:val="20"/>
                <w:lang w:eastAsia="hr-HR"/>
              </w:rPr>
              <w:t>6</w:t>
            </w:r>
          </w:p>
        </w:tc>
        <w:tc>
          <w:tcPr>
            <w:tcW w:w="1503" w:type="dxa"/>
            <w:tcBorders>
              <w:top w:val="nil"/>
              <w:left w:val="nil"/>
              <w:bottom w:val="single" w:sz="8" w:space="0" w:color="auto"/>
              <w:right w:val="single" w:sz="4" w:space="0" w:color="auto"/>
            </w:tcBorders>
            <w:shd w:val="clear" w:color="000000" w:fill="9BC2E6"/>
            <w:noWrap/>
            <w:vAlign w:val="center"/>
            <w:hideMark/>
          </w:tcPr>
          <w:p w14:paraId="2D3AD717"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154.195.684,60</w:t>
            </w:r>
          </w:p>
        </w:tc>
        <w:tc>
          <w:tcPr>
            <w:tcW w:w="2182" w:type="dxa"/>
            <w:tcBorders>
              <w:top w:val="single" w:sz="4" w:space="0" w:color="auto"/>
              <w:left w:val="single" w:sz="4" w:space="0" w:color="auto"/>
              <w:bottom w:val="single" w:sz="4" w:space="0" w:color="auto"/>
              <w:right w:val="single" w:sz="4" w:space="0" w:color="auto"/>
            </w:tcBorders>
            <w:shd w:val="clear" w:color="auto" w:fill="9BC2E6"/>
            <w:vAlign w:val="center"/>
          </w:tcPr>
          <w:p w14:paraId="455A48EC" w14:textId="77777777" w:rsidR="00C228B7" w:rsidRPr="0083328B" w:rsidRDefault="00C228B7" w:rsidP="00106C4F">
            <w:pPr>
              <w:spacing w:after="0" w:line="240" w:lineRule="auto"/>
              <w:jc w:val="center"/>
              <w:rPr>
                <w:rFonts w:eastAsia="Times New Roman"/>
                <w:b/>
                <w:bCs/>
                <w:color w:val="000000"/>
                <w:sz w:val="20"/>
                <w:szCs w:val="20"/>
                <w:lang w:eastAsia="hr-HR"/>
              </w:rPr>
            </w:pPr>
            <w:r w:rsidRPr="0083328B">
              <w:rPr>
                <w:rFonts w:eastAsia="Times New Roman"/>
                <w:b/>
                <w:bCs/>
                <w:color w:val="000000"/>
                <w:sz w:val="20"/>
                <w:szCs w:val="20"/>
                <w:lang w:eastAsia="hr-HR"/>
              </w:rPr>
              <w:t>15.611.774,91</w:t>
            </w:r>
          </w:p>
        </w:tc>
        <w:tc>
          <w:tcPr>
            <w:tcW w:w="2127" w:type="dxa"/>
            <w:tcBorders>
              <w:top w:val="nil"/>
              <w:left w:val="single" w:sz="4" w:space="0" w:color="auto"/>
              <w:bottom w:val="single" w:sz="8" w:space="0" w:color="auto"/>
              <w:right w:val="single" w:sz="4" w:space="0" w:color="auto"/>
            </w:tcBorders>
            <w:shd w:val="clear" w:color="auto" w:fill="9BC2E6"/>
            <w:noWrap/>
            <w:vAlign w:val="center"/>
            <w:hideMark/>
          </w:tcPr>
          <w:p w14:paraId="33AC6F16"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12.637.959,35</w:t>
            </w:r>
          </w:p>
        </w:tc>
        <w:tc>
          <w:tcPr>
            <w:tcW w:w="2409" w:type="dxa"/>
            <w:tcBorders>
              <w:top w:val="single" w:sz="4" w:space="0" w:color="auto"/>
              <w:left w:val="single" w:sz="4" w:space="0" w:color="auto"/>
              <w:bottom w:val="single" w:sz="4" w:space="0" w:color="auto"/>
              <w:right w:val="single" w:sz="4" w:space="0" w:color="auto"/>
            </w:tcBorders>
            <w:shd w:val="clear" w:color="auto" w:fill="9BC2E6"/>
          </w:tcPr>
          <w:p w14:paraId="792E614D" w14:textId="77777777" w:rsidR="00C228B7" w:rsidRPr="00C05021" w:rsidRDefault="00C228B7" w:rsidP="00106C4F">
            <w:pPr>
              <w:spacing w:after="0" w:line="240" w:lineRule="auto"/>
              <w:jc w:val="center"/>
              <w:rPr>
                <w:rFonts w:eastAsia="Times New Roman"/>
                <w:b/>
                <w:bCs/>
                <w:color w:val="000000"/>
                <w:sz w:val="20"/>
                <w:szCs w:val="20"/>
                <w:lang w:eastAsia="hr-HR"/>
              </w:rPr>
            </w:pPr>
            <w:r>
              <w:rPr>
                <w:rFonts w:eastAsia="Times New Roman"/>
                <w:b/>
                <w:bCs/>
                <w:color w:val="000000"/>
                <w:sz w:val="20"/>
                <w:szCs w:val="20"/>
                <w:lang w:eastAsia="hr-HR"/>
              </w:rPr>
              <w:t>28.249.734,26</w:t>
            </w:r>
          </w:p>
        </w:tc>
        <w:tc>
          <w:tcPr>
            <w:tcW w:w="2409" w:type="dxa"/>
            <w:tcBorders>
              <w:top w:val="nil"/>
              <w:left w:val="single" w:sz="4" w:space="0" w:color="auto"/>
              <w:bottom w:val="single" w:sz="8" w:space="0" w:color="auto"/>
              <w:right w:val="single" w:sz="8" w:space="0" w:color="auto"/>
            </w:tcBorders>
            <w:shd w:val="clear" w:color="000000" w:fill="9BC2E6"/>
            <w:noWrap/>
            <w:vAlign w:val="center"/>
            <w:hideMark/>
          </w:tcPr>
          <w:p w14:paraId="0357BDAA" w14:textId="77777777" w:rsidR="00C228B7" w:rsidRPr="00C05021" w:rsidRDefault="00C228B7" w:rsidP="00106C4F">
            <w:pPr>
              <w:spacing w:after="0" w:line="240" w:lineRule="auto"/>
              <w:jc w:val="center"/>
              <w:rPr>
                <w:rFonts w:eastAsia="Times New Roman"/>
                <w:b/>
                <w:bCs/>
                <w:color w:val="000000"/>
                <w:sz w:val="20"/>
                <w:szCs w:val="20"/>
                <w:lang w:eastAsia="hr-HR"/>
              </w:rPr>
            </w:pPr>
            <w:r w:rsidRPr="00C05021">
              <w:rPr>
                <w:rFonts w:eastAsia="Times New Roman"/>
                <w:b/>
                <w:bCs/>
                <w:color w:val="000000"/>
                <w:sz w:val="20"/>
                <w:szCs w:val="20"/>
                <w:lang w:eastAsia="hr-HR"/>
              </w:rPr>
              <w:t>166.833.643,95</w:t>
            </w:r>
          </w:p>
        </w:tc>
      </w:tr>
    </w:tbl>
    <w:p w14:paraId="0A70A018" w14:textId="77777777" w:rsidR="00C228B7" w:rsidRPr="00682FB1" w:rsidRDefault="00C228B7" w:rsidP="00C228B7">
      <w:pPr>
        <w:sectPr w:rsidR="00C228B7" w:rsidRPr="00682FB1" w:rsidSect="00C228B7">
          <w:headerReference w:type="default" r:id="rId20"/>
          <w:footerReference w:type="default" r:id="rId21"/>
          <w:pgSz w:w="23811" w:h="16838" w:orient="landscape" w:code="8"/>
          <w:pgMar w:top="720" w:right="720" w:bottom="720" w:left="720" w:header="708" w:footer="708" w:gutter="0"/>
          <w:cols w:space="708"/>
          <w:docGrid w:linePitch="360"/>
        </w:sectPr>
      </w:pPr>
    </w:p>
    <w:p w14:paraId="22E917B1" w14:textId="77777777" w:rsidR="00C228B7" w:rsidRDefault="00C228B7" w:rsidP="00986C2A">
      <w:pPr>
        <w:spacing w:after="0" w:line="240" w:lineRule="auto"/>
        <w:rPr>
          <w:bCs/>
          <w:i/>
        </w:rPr>
      </w:pPr>
    </w:p>
    <w:p w14:paraId="34E411BE" w14:textId="77777777" w:rsidR="00986C2A" w:rsidRPr="00174A96" w:rsidRDefault="00986C2A" w:rsidP="00986C2A">
      <w:pPr>
        <w:spacing w:before="60" w:after="240" w:line="240" w:lineRule="auto"/>
        <w:rPr>
          <w:rFonts w:eastAsia="Times New Roman"/>
          <w:b/>
          <w:lang w:eastAsia="hr-HR"/>
        </w:rPr>
      </w:pPr>
      <w:r w:rsidRPr="00174A96">
        <w:rPr>
          <w:i/>
        </w:rPr>
        <w:t xml:space="preserve">Prilog 2.: </w:t>
      </w:r>
      <w:r w:rsidRPr="00174A96">
        <w:rPr>
          <w:rFonts w:eastAsia="Times New Roman"/>
          <w:b/>
          <w:lang w:eastAsia="hr-HR"/>
        </w:rPr>
        <w:t xml:space="preserve">Rekapitulacija Plana </w:t>
      </w:r>
      <w:r>
        <w:rPr>
          <w:rFonts w:eastAsia="Times New Roman"/>
          <w:b/>
          <w:lang w:eastAsia="hr-HR"/>
        </w:rPr>
        <w:t>I.</w:t>
      </w:r>
    </w:p>
    <w:tbl>
      <w:tblPr>
        <w:tblStyle w:val="Reetkatablice"/>
        <w:tblW w:w="0" w:type="auto"/>
        <w:tblInd w:w="910" w:type="dxa"/>
        <w:tblLook w:val="04A0" w:firstRow="1" w:lastRow="0" w:firstColumn="1" w:lastColumn="0" w:noHBand="0" w:noVBand="1"/>
      </w:tblPr>
      <w:tblGrid>
        <w:gridCol w:w="2564"/>
        <w:gridCol w:w="2564"/>
        <w:gridCol w:w="2565"/>
        <w:gridCol w:w="2565"/>
        <w:gridCol w:w="2565"/>
        <w:gridCol w:w="2565"/>
      </w:tblGrid>
      <w:tr w:rsidR="00986C2A" w:rsidRPr="00174A96" w14:paraId="5EB13400" w14:textId="77777777" w:rsidTr="00986C2A">
        <w:tc>
          <w:tcPr>
            <w:tcW w:w="2564" w:type="dxa"/>
            <w:shd w:val="clear" w:color="auto" w:fill="C6D9F1" w:themeFill="text2" w:themeFillTint="33"/>
          </w:tcPr>
          <w:p w14:paraId="2C896FE7" w14:textId="77777777" w:rsidR="00986C2A" w:rsidRPr="00174A96" w:rsidRDefault="00986C2A" w:rsidP="00071285">
            <w:pPr>
              <w:spacing w:before="60" w:after="60"/>
              <w:jc w:val="left"/>
              <w:rPr>
                <w:b/>
                <w:bCs/>
              </w:rPr>
            </w:pPr>
            <w:r w:rsidRPr="00174A96">
              <w:rPr>
                <w:b/>
                <w:bCs/>
              </w:rPr>
              <w:t>Financijska sredstva dobivena od prodaje emisijskih jedinica stakleničkih plinova putem dražbi</w:t>
            </w:r>
          </w:p>
        </w:tc>
        <w:tc>
          <w:tcPr>
            <w:tcW w:w="2564" w:type="dxa"/>
            <w:shd w:val="clear" w:color="auto" w:fill="C6D9F1" w:themeFill="text2" w:themeFillTint="33"/>
            <w:vAlign w:val="center"/>
          </w:tcPr>
          <w:p w14:paraId="2F96CE81" w14:textId="77777777" w:rsidR="00986C2A" w:rsidRPr="00174A96" w:rsidRDefault="00986C2A" w:rsidP="00071285">
            <w:pPr>
              <w:spacing w:before="60" w:after="60"/>
              <w:jc w:val="center"/>
              <w:rPr>
                <w:b/>
                <w:bCs/>
              </w:rPr>
            </w:pPr>
            <w:r w:rsidRPr="00174A96">
              <w:rPr>
                <w:b/>
                <w:bCs/>
              </w:rPr>
              <w:t>2017.</w:t>
            </w:r>
          </w:p>
        </w:tc>
        <w:tc>
          <w:tcPr>
            <w:tcW w:w="2565" w:type="dxa"/>
            <w:shd w:val="clear" w:color="auto" w:fill="C6D9F1" w:themeFill="text2" w:themeFillTint="33"/>
            <w:vAlign w:val="center"/>
          </w:tcPr>
          <w:p w14:paraId="477CFFAF" w14:textId="77777777" w:rsidR="00986C2A" w:rsidRPr="00174A96" w:rsidRDefault="00986C2A" w:rsidP="00071285">
            <w:pPr>
              <w:spacing w:before="60" w:after="60"/>
              <w:jc w:val="center"/>
              <w:rPr>
                <w:b/>
                <w:bCs/>
              </w:rPr>
            </w:pPr>
            <w:r w:rsidRPr="00174A96">
              <w:rPr>
                <w:b/>
                <w:bCs/>
              </w:rPr>
              <w:t>2018.</w:t>
            </w:r>
          </w:p>
        </w:tc>
        <w:tc>
          <w:tcPr>
            <w:tcW w:w="2565" w:type="dxa"/>
            <w:shd w:val="clear" w:color="auto" w:fill="C6D9F1" w:themeFill="text2" w:themeFillTint="33"/>
            <w:vAlign w:val="center"/>
          </w:tcPr>
          <w:p w14:paraId="2169A7BB" w14:textId="77777777" w:rsidR="00986C2A" w:rsidRPr="00174A96" w:rsidRDefault="00986C2A" w:rsidP="00071285">
            <w:pPr>
              <w:spacing w:before="60" w:after="60"/>
              <w:jc w:val="center"/>
              <w:rPr>
                <w:b/>
                <w:bCs/>
              </w:rPr>
            </w:pPr>
            <w:r w:rsidRPr="00174A96">
              <w:rPr>
                <w:b/>
                <w:bCs/>
              </w:rPr>
              <w:t>2019.</w:t>
            </w:r>
          </w:p>
        </w:tc>
        <w:tc>
          <w:tcPr>
            <w:tcW w:w="2565" w:type="dxa"/>
            <w:shd w:val="clear" w:color="auto" w:fill="C6D9F1" w:themeFill="text2" w:themeFillTint="33"/>
            <w:vAlign w:val="center"/>
          </w:tcPr>
          <w:p w14:paraId="6D546B86" w14:textId="77777777" w:rsidR="00986C2A" w:rsidRPr="00174A96" w:rsidRDefault="00986C2A" w:rsidP="00071285">
            <w:pPr>
              <w:spacing w:before="60" w:after="60"/>
              <w:jc w:val="center"/>
              <w:rPr>
                <w:b/>
                <w:bCs/>
              </w:rPr>
            </w:pPr>
            <w:r w:rsidRPr="00174A96">
              <w:rPr>
                <w:b/>
                <w:bCs/>
              </w:rPr>
              <w:t>2020.</w:t>
            </w:r>
          </w:p>
        </w:tc>
        <w:tc>
          <w:tcPr>
            <w:tcW w:w="2565" w:type="dxa"/>
            <w:shd w:val="clear" w:color="auto" w:fill="C6D9F1" w:themeFill="text2" w:themeFillTint="33"/>
            <w:vAlign w:val="center"/>
          </w:tcPr>
          <w:p w14:paraId="5AADF587" w14:textId="77777777" w:rsidR="00986C2A" w:rsidRPr="00174A96" w:rsidRDefault="00986C2A" w:rsidP="00071285">
            <w:pPr>
              <w:spacing w:before="60" w:after="60"/>
              <w:jc w:val="center"/>
              <w:rPr>
                <w:b/>
                <w:bCs/>
              </w:rPr>
            </w:pPr>
            <w:r w:rsidRPr="00174A96">
              <w:rPr>
                <w:b/>
                <w:bCs/>
              </w:rPr>
              <w:t>Ukupno 2017.</w:t>
            </w:r>
            <w:r>
              <w:rPr>
                <w:b/>
                <w:bCs/>
              </w:rPr>
              <w:t xml:space="preserve"> </w:t>
            </w:r>
            <w:r w:rsidRPr="00174A96">
              <w:rPr>
                <w:b/>
                <w:bCs/>
              </w:rPr>
              <w:t>-</w:t>
            </w:r>
            <w:r>
              <w:rPr>
                <w:b/>
                <w:bCs/>
              </w:rPr>
              <w:t xml:space="preserve"> </w:t>
            </w:r>
            <w:r w:rsidRPr="00174A96">
              <w:rPr>
                <w:b/>
                <w:bCs/>
              </w:rPr>
              <w:t>2020.</w:t>
            </w:r>
          </w:p>
        </w:tc>
      </w:tr>
      <w:tr w:rsidR="00986C2A" w:rsidRPr="00174A96" w14:paraId="45D54208" w14:textId="77777777" w:rsidTr="00986C2A">
        <w:tc>
          <w:tcPr>
            <w:tcW w:w="2564" w:type="dxa"/>
            <w:shd w:val="clear" w:color="auto" w:fill="C6D9F1" w:themeFill="text2" w:themeFillTint="33"/>
          </w:tcPr>
          <w:p w14:paraId="4F24DCC9" w14:textId="77777777" w:rsidR="00986C2A" w:rsidRPr="00174A96" w:rsidRDefault="00986C2A" w:rsidP="00071285">
            <w:pPr>
              <w:spacing w:before="60" w:after="60"/>
              <w:jc w:val="left"/>
              <w:rPr>
                <w:b/>
                <w:bCs/>
              </w:rPr>
            </w:pPr>
            <w:r w:rsidRPr="00174A96">
              <w:rPr>
                <w:b/>
                <w:bCs/>
              </w:rPr>
              <w:t>Broj održanih dražbi</w:t>
            </w:r>
          </w:p>
        </w:tc>
        <w:tc>
          <w:tcPr>
            <w:tcW w:w="2564" w:type="dxa"/>
            <w:vAlign w:val="center"/>
          </w:tcPr>
          <w:p w14:paraId="5436DD5D" w14:textId="77777777" w:rsidR="00986C2A" w:rsidRPr="00174A96" w:rsidRDefault="00986C2A" w:rsidP="00071285">
            <w:pPr>
              <w:spacing w:before="60" w:after="60"/>
              <w:jc w:val="center"/>
            </w:pPr>
            <w:r w:rsidRPr="00174A96">
              <w:t>141</w:t>
            </w:r>
          </w:p>
        </w:tc>
        <w:tc>
          <w:tcPr>
            <w:tcW w:w="2565" w:type="dxa"/>
            <w:vAlign w:val="center"/>
          </w:tcPr>
          <w:p w14:paraId="57D72A86" w14:textId="77777777" w:rsidR="00986C2A" w:rsidRPr="00174A96" w:rsidRDefault="00986C2A" w:rsidP="00071285">
            <w:pPr>
              <w:spacing w:before="60" w:after="60"/>
              <w:jc w:val="center"/>
            </w:pPr>
            <w:r w:rsidRPr="00174A96">
              <w:t>143</w:t>
            </w:r>
          </w:p>
        </w:tc>
        <w:tc>
          <w:tcPr>
            <w:tcW w:w="2565" w:type="dxa"/>
            <w:vAlign w:val="center"/>
          </w:tcPr>
          <w:p w14:paraId="74874C8A" w14:textId="77777777" w:rsidR="00986C2A" w:rsidRPr="00174A96" w:rsidRDefault="00986C2A" w:rsidP="00071285">
            <w:pPr>
              <w:spacing w:before="60" w:after="60"/>
              <w:jc w:val="center"/>
            </w:pPr>
            <w:r w:rsidRPr="00174A96">
              <w:t>146</w:t>
            </w:r>
          </w:p>
        </w:tc>
        <w:tc>
          <w:tcPr>
            <w:tcW w:w="2565" w:type="dxa"/>
            <w:vAlign w:val="center"/>
          </w:tcPr>
          <w:p w14:paraId="05903FA0" w14:textId="77777777" w:rsidR="00986C2A" w:rsidRPr="00174A96" w:rsidRDefault="00986C2A" w:rsidP="00071285">
            <w:pPr>
              <w:spacing w:before="60" w:after="60"/>
              <w:jc w:val="center"/>
            </w:pPr>
            <w:r w:rsidRPr="00174A96">
              <w:t>145</w:t>
            </w:r>
          </w:p>
        </w:tc>
        <w:tc>
          <w:tcPr>
            <w:tcW w:w="2565" w:type="dxa"/>
            <w:vAlign w:val="center"/>
          </w:tcPr>
          <w:p w14:paraId="09E58969" w14:textId="77777777" w:rsidR="00986C2A" w:rsidRPr="00174A96" w:rsidRDefault="00986C2A" w:rsidP="00071285">
            <w:pPr>
              <w:spacing w:before="60" w:after="60"/>
              <w:jc w:val="center"/>
            </w:pPr>
            <w:r w:rsidRPr="00174A96">
              <w:t>575</w:t>
            </w:r>
          </w:p>
        </w:tc>
      </w:tr>
      <w:tr w:rsidR="00986C2A" w:rsidRPr="00174A96" w14:paraId="222078B0" w14:textId="77777777" w:rsidTr="00986C2A">
        <w:tc>
          <w:tcPr>
            <w:tcW w:w="2564" w:type="dxa"/>
            <w:shd w:val="clear" w:color="auto" w:fill="C6D9F1" w:themeFill="text2" w:themeFillTint="33"/>
          </w:tcPr>
          <w:p w14:paraId="21531249" w14:textId="77777777" w:rsidR="00986C2A" w:rsidRPr="00174A96" w:rsidRDefault="00986C2A" w:rsidP="00071285">
            <w:pPr>
              <w:spacing w:before="60" w:after="60"/>
              <w:jc w:val="left"/>
              <w:rPr>
                <w:b/>
                <w:bCs/>
              </w:rPr>
            </w:pPr>
            <w:r w:rsidRPr="00174A96">
              <w:rPr>
                <w:b/>
                <w:bCs/>
              </w:rPr>
              <w:t>Ukupan iznos emisijskih jedinica</w:t>
            </w:r>
          </w:p>
        </w:tc>
        <w:tc>
          <w:tcPr>
            <w:tcW w:w="2564" w:type="dxa"/>
            <w:vAlign w:val="center"/>
          </w:tcPr>
          <w:p w14:paraId="0AF14B25" w14:textId="77777777" w:rsidR="00986C2A" w:rsidRPr="00174A96" w:rsidRDefault="00986C2A" w:rsidP="00071285">
            <w:pPr>
              <w:spacing w:before="60" w:after="60"/>
              <w:jc w:val="center"/>
            </w:pPr>
            <w:r w:rsidRPr="00174A96">
              <w:t>4.698.000</w:t>
            </w:r>
          </w:p>
        </w:tc>
        <w:tc>
          <w:tcPr>
            <w:tcW w:w="2565" w:type="dxa"/>
            <w:vAlign w:val="center"/>
          </w:tcPr>
          <w:p w14:paraId="65DC8F00" w14:textId="77777777" w:rsidR="00986C2A" w:rsidRPr="00174A96" w:rsidRDefault="00986C2A" w:rsidP="00071285">
            <w:pPr>
              <w:spacing w:before="60" w:after="60"/>
              <w:jc w:val="center"/>
            </w:pPr>
            <w:r w:rsidRPr="00174A96">
              <w:t>4.636.000</w:t>
            </w:r>
          </w:p>
        </w:tc>
        <w:tc>
          <w:tcPr>
            <w:tcW w:w="2565" w:type="dxa"/>
            <w:vAlign w:val="center"/>
          </w:tcPr>
          <w:p w14:paraId="5966D48E" w14:textId="77777777" w:rsidR="00986C2A" w:rsidRPr="00174A96" w:rsidRDefault="00986C2A" w:rsidP="00071285">
            <w:pPr>
              <w:spacing w:before="60" w:after="60"/>
              <w:jc w:val="center"/>
            </w:pPr>
            <w:r w:rsidRPr="00174A96">
              <w:t>2.953.500</w:t>
            </w:r>
          </w:p>
        </w:tc>
        <w:tc>
          <w:tcPr>
            <w:tcW w:w="2565" w:type="dxa"/>
            <w:vAlign w:val="center"/>
          </w:tcPr>
          <w:p w14:paraId="58F53875" w14:textId="77777777" w:rsidR="00986C2A" w:rsidRPr="00174A96" w:rsidRDefault="00986C2A" w:rsidP="00071285">
            <w:pPr>
              <w:spacing w:before="60" w:after="60"/>
              <w:jc w:val="center"/>
            </w:pPr>
            <w:r w:rsidRPr="00174A96">
              <w:t>2.969.000</w:t>
            </w:r>
          </w:p>
        </w:tc>
        <w:tc>
          <w:tcPr>
            <w:tcW w:w="2565" w:type="dxa"/>
            <w:vAlign w:val="center"/>
          </w:tcPr>
          <w:p w14:paraId="5283B76B" w14:textId="77777777" w:rsidR="00986C2A" w:rsidRPr="00174A96" w:rsidRDefault="00986C2A" w:rsidP="00071285">
            <w:pPr>
              <w:spacing w:before="60" w:after="60"/>
              <w:jc w:val="center"/>
            </w:pPr>
            <w:r w:rsidRPr="00174A96">
              <w:t>15.256.500</w:t>
            </w:r>
          </w:p>
        </w:tc>
      </w:tr>
      <w:tr w:rsidR="00986C2A" w:rsidRPr="00174A96" w14:paraId="3293F378" w14:textId="77777777" w:rsidTr="00986C2A">
        <w:tc>
          <w:tcPr>
            <w:tcW w:w="2564" w:type="dxa"/>
            <w:shd w:val="clear" w:color="auto" w:fill="C6D9F1" w:themeFill="text2" w:themeFillTint="33"/>
          </w:tcPr>
          <w:p w14:paraId="52C2B23B" w14:textId="77777777" w:rsidR="00986C2A" w:rsidRPr="00174A96" w:rsidRDefault="00986C2A" w:rsidP="00071285">
            <w:pPr>
              <w:spacing w:before="60" w:after="60"/>
              <w:jc w:val="left"/>
              <w:rPr>
                <w:b/>
                <w:bCs/>
              </w:rPr>
            </w:pPr>
            <w:r w:rsidRPr="00174A96">
              <w:rPr>
                <w:b/>
                <w:bCs/>
              </w:rPr>
              <w:t>Prosječna cijena</w:t>
            </w:r>
          </w:p>
        </w:tc>
        <w:tc>
          <w:tcPr>
            <w:tcW w:w="2564" w:type="dxa"/>
            <w:vAlign w:val="center"/>
          </w:tcPr>
          <w:p w14:paraId="123C676A" w14:textId="77777777" w:rsidR="00986C2A" w:rsidRPr="00174A96" w:rsidRDefault="00986C2A" w:rsidP="00071285">
            <w:pPr>
              <w:spacing w:before="60" w:after="60"/>
              <w:jc w:val="center"/>
            </w:pPr>
            <w:r w:rsidRPr="00174A96">
              <w:t>5,77 €</w:t>
            </w:r>
          </w:p>
        </w:tc>
        <w:tc>
          <w:tcPr>
            <w:tcW w:w="2565" w:type="dxa"/>
            <w:vAlign w:val="center"/>
          </w:tcPr>
          <w:p w14:paraId="32580927" w14:textId="77777777" w:rsidR="00986C2A" w:rsidRPr="00174A96" w:rsidRDefault="00986C2A" w:rsidP="00071285">
            <w:pPr>
              <w:spacing w:before="60" w:after="60"/>
              <w:jc w:val="center"/>
            </w:pPr>
            <w:r w:rsidRPr="00174A96">
              <w:t>15,68 €</w:t>
            </w:r>
          </w:p>
        </w:tc>
        <w:tc>
          <w:tcPr>
            <w:tcW w:w="2565" w:type="dxa"/>
            <w:vAlign w:val="center"/>
          </w:tcPr>
          <w:p w14:paraId="7663E71F" w14:textId="77777777" w:rsidR="00986C2A" w:rsidRPr="00174A96" w:rsidRDefault="00986C2A" w:rsidP="00071285">
            <w:pPr>
              <w:spacing w:before="60" w:after="60"/>
              <w:jc w:val="center"/>
            </w:pPr>
            <w:r w:rsidRPr="00174A96">
              <w:t>24,74 €</w:t>
            </w:r>
          </w:p>
        </w:tc>
        <w:tc>
          <w:tcPr>
            <w:tcW w:w="2565" w:type="dxa"/>
            <w:vAlign w:val="center"/>
          </w:tcPr>
          <w:p w14:paraId="71A674D0" w14:textId="77777777" w:rsidR="00986C2A" w:rsidRPr="00174A96" w:rsidRDefault="00986C2A" w:rsidP="00071285">
            <w:pPr>
              <w:spacing w:before="60" w:after="60"/>
              <w:jc w:val="center"/>
            </w:pPr>
            <w:r w:rsidRPr="00174A96">
              <w:t>24,33 €</w:t>
            </w:r>
          </w:p>
        </w:tc>
        <w:tc>
          <w:tcPr>
            <w:tcW w:w="2565" w:type="dxa"/>
            <w:vAlign w:val="center"/>
          </w:tcPr>
          <w:p w14:paraId="19DC46C7" w14:textId="77777777" w:rsidR="00986C2A" w:rsidRPr="00174A96" w:rsidRDefault="00986C2A" w:rsidP="00071285">
            <w:pPr>
              <w:spacing w:before="60" w:after="60"/>
              <w:jc w:val="center"/>
            </w:pPr>
            <w:r w:rsidRPr="00174A96">
              <w:t>17,63 €</w:t>
            </w:r>
          </w:p>
        </w:tc>
      </w:tr>
      <w:tr w:rsidR="00986C2A" w:rsidRPr="00174A96" w14:paraId="722F1B3D" w14:textId="77777777" w:rsidTr="00986C2A">
        <w:tc>
          <w:tcPr>
            <w:tcW w:w="2564" w:type="dxa"/>
            <w:shd w:val="clear" w:color="auto" w:fill="C6D9F1" w:themeFill="text2" w:themeFillTint="33"/>
          </w:tcPr>
          <w:p w14:paraId="70F01EC1" w14:textId="77777777" w:rsidR="00986C2A" w:rsidRPr="00174A96" w:rsidRDefault="00986C2A" w:rsidP="00071285">
            <w:pPr>
              <w:spacing w:before="60" w:after="60"/>
              <w:jc w:val="left"/>
              <w:rPr>
                <w:b/>
                <w:bCs/>
              </w:rPr>
            </w:pPr>
            <w:r w:rsidRPr="00174A96">
              <w:rPr>
                <w:b/>
                <w:bCs/>
              </w:rPr>
              <w:t>Ostvarena financijska sredstva (€)</w:t>
            </w:r>
          </w:p>
        </w:tc>
        <w:tc>
          <w:tcPr>
            <w:tcW w:w="2564" w:type="dxa"/>
            <w:vAlign w:val="center"/>
          </w:tcPr>
          <w:p w14:paraId="46D8BBFD" w14:textId="77777777" w:rsidR="00986C2A" w:rsidRPr="00174A96" w:rsidRDefault="00986C2A" w:rsidP="00071285">
            <w:pPr>
              <w:spacing w:before="60" w:after="60"/>
              <w:jc w:val="center"/>
            </w:pPr>
            <w:r w:rsidRPr="00174A96">
              <w:t>27.152.690,00 €</w:t>
            </w:r>
          </w:p>
        </w:tc>
        <w:tc>
          <w:tcPr>
            <w:tcW w:w="2565" w:type="dxa"/>
            <w:vAlign w:val="center"/>
          </w:tcPr>
          <w:p w14:paraId="03B0A5B7" w14:textId="77777777" w:rsidR="00986C2A" w:rsidRPr="00174A96" w:rsidRDefault="00986C2A" w:rsidP="00071285">
            <w:pPr>
              <w:spacing w:before="60" w:after="60"/>
              <w:jc w:val="center"/>
            </w:pPr>
            <w:r w:rsidRPr="00174A96">
              <w:t>71.510.020,00 €</w:t>
            </w:r>
          </w:p>
        </w:tc>
        <w:tc>
          <w:tcPr>
            <w:tcW w:w="2565" w:type="dxa"/>
            <w:vAlign w:val="center"/>
          </w:tcPr>
          <w:p w14:paraId="2AD217ED" w14:textId="77777777" w:rsidR="00986C2A" w:rsidRPr="00174A96" w:rsidRDefault="00986C2A" w:rsidP="00071285">
            <w:pPr>
              <w:spacing w:before="60" w:after="60"/>
              <w:jc w:val="center"/>
            </w:pPr>
            <w:r w:rsidRPr="00174A96">
              <w:t>72.714.435,00 €</w:t>
            </w:r>
          </w:p>
        </w:tc>
        <w:tc>
          <w:tcPr>
            <w:tcW w:w="2565" w:type="dxa"/>
            <w:vAlign w:val="center"/>
          </w:tcPr>
          <w:p w14:paraId="58ECACA6" w14:textId="77777777" w:rsidR="00986C2A" w:rsidRPr="00174A96" w:rsidRDefault="00986C2A" w:rsidP="00071285">
            <w:pPr>
              <w:spacing w:before="60" w:after="60"/>
              <w:jc w:val="center"/>
            </w:pPr>
            <w:r w:rsidRPr="00174A96">
              <w:t>72.187.340,00 €</w:t>
            </w:r>
          </w:p>
        </w:tc>
        <w:tc>
          <w:tcPr>
            <w:tcW w:w="2565" w:type="dxa"/>
            <w:vAlign w:val="center"/>
          </w:tcPr>
          <w:p w14:paraId="0AA83613" w14:textId="77777777" w:rsidR="00986C2A" w:rsidRPr="00174A96" w:rsidRDefault="00986C2A" w:rsidP="00071285">
            <w:pPr>
              <w:spacing w:before="60" w:after="60"/>
              <w:jc w:val="center"/>
            </w:pPr>
            <w:r w:rsidRPr="00174A96">
              <w:t>243.564.485,00 €</w:t>
            </w:r>
          </w:p>
        </w:tc>
      </w:tr>
      <w:tr w:rsidR="00986C2A" w:rsidRPr="00174A96" w14:paraId="450423E5" w14:textId="77777777" w:rsidTr="00986C2A">
        <w:tc>
          <w:tcPr>
            <w:tcW w:w="2564" w:type="dxa"/>
            <w:shd w:val="clear" w:color="auto" w:fill="C6D9F1" w:themeFill="text2" w:themeFillTint="33"/>
          </w:tcPr>
          <w:p w14:paraId="1434F709" w14:textId="77777777" w:rsidR="00986C2A" w:rsidRPr="00174A96" w:rsidRDefault="00986C2A" w:rsidP="00071285">
            <w:pPr>
              <w:spacing w:before="60" w:after="60"/>
              <w:jc w:val="left"/>
              <w:rPr>
                <w:b/>
                <w:bCs/>
              </w:rPr>
            </w:pPr>
            <w:r w:rsidRPr="00174A96">
              <w:rPr>
                <w:b/>
                <w:bCs/>
              </w:rPr>
              <w:t>Ostvarena financijska sredstva (HRK)</w:t>
            </w:r>
          </w:p>
        </w:tc>
        <w:tc>
          <w:tcPr>
            <w:tcW w:w="2564" w:type="dxa"/>
            <w:vAlign w:val="center"/>
          </w:tcPr>
          <w:p w14:paraId="4EF5E21F" w14:textId="77777777" w:rsidR="00986C2A" w:rsidRPr="00174A96" w:rsidRDefault="00986C2A" w:rsidP="00071285">
            <w:pPr>
              <w:spacing w:before="60" w:after="60"/>
              <w:jc w:val="right"/>
            </w:pPr>
            <w:r w:rsidRPr="00174A96">
              <w:t>202.769.232,48 HRK</w:t>
            </w:r>
          </w:p>
        </w:tc>
        <w:tc>
          <w:tcPr>
            <w:tcW w:w="2565" w:type="dxa"/>
            <w:vAlign w:val="center"/>
          </w:tcPr>
          <w:p w14:paraId="49F08E89" w14:textId="77777777" w:rsidR="00986C2A" w:rsidRPr="00174A96" w:rsidRDefault="00986C2A" w:rsidP="00071285">
            <w:pPr>
              <w:spacing w:before="60" w:after="60"/>
              <w:jc w:val="right"/>
            </w:pPr>
            <w:r w:rsidRPr="00174A96">
              <w:t>529.986.264,00 HRK</w:t>
            </w:r>
          </w:p>
        </w:tc>
        <w:tc>
          <w:tcPr>
            <w:tcW w:w="2565" w:type="dxa"/>
            <w:vAlign w:val="center"/>
          </w:tcPr>
          <w:p w14:paraId="2C98FE5B" w14:textId="77777777" w:rsidR="00986C2A" w:rsidRPr="00174A96" w:rsidRDefault="00986C2A" w:rsidP="00071285">
            <w:pPr>
              <w:spacing w:before="60" w:after="60"/>
              <w:jc w:val="right"/>
            </w:pPr>
            <w:r w:rsidRPr="00174A96">
              <w:t>539.042.353,68 HRK</w:t>
            </w:r>
          </w:p>
        </w:tc>
        <w:tc>
          <w:tcPr>
            <w:tcW w:w="2565" w:type="dxa"/>
            <w:vAlign w:val="center"/>
          </w:tcPr>
          <w:p w14:paraId="0462A1B5" w14:textId="77777777" w:rsidR="00986C2A" w:rsidRPr="00174A96" w:rsidRDefault="00986C2A" w:rsidP="00071285">
            <w:pPr>
              <w:spacing w:before="60" w:after="60"/>
              <w:jc w:val="right"/>
            </w:pPr>
            <w:r w:rsidRPr="00174A96">
              <w:t>543.780.333,07 HRK</w:t>
            </w:r>
          </w:p>
        </w:tc>
        <w:tc>
          <w:tcPr>
            <w:tcW w:w="2565" w:type="dxa"/>
            <w:vAlign w:val="center"/>
          </w:tcPr>
          <w:p w14:paraId="56E25C84" w14:textId="77777777" w:rsidR="00986C2A" w:rsidRPr="00174A96" w:rsidRDefault="00986C2A" w:rsidP="00071285">
            <w:pPr>
              <w:spacing w:before="60" w:after="60"/>
              <w:jc w:val="right"/>
            </w:pPr>
            <w:r w:rsidRPr="00174A96">
              <w:t>1.815.578.183,23 HRK</w:t>
            </w:r>
          </w:p>
        </w:tc>
      </w:tr>
      <w:tr w:rsidR="00986C2A" w:rsidRPr="00174A96" w14:paraId="2B173860" w14:textId="77777777" w:rsidTr="00986C2A">
        <w:tc>
          <w:tcPr>
            <w:tcW w:w="2564" w:type="dxa"/>
            <w:shd w:val="clear" w:color="auto" w:fill="C6D9F1" w:themeFill="text2" w:themeFillTint="33"/>
          </w:tcPr>
          <w:p w14:paraId="4AE1F044" w14:textId="77777777" w:rsidR="00986C2A" w:rsidRPr="00174A96" w:rsidRDefault="00986C2A" w:rsidP="00071285">
            <w:pPr>
              <w:spacing w:before="60" w:after="60"/>
              <w:jc w:val="left"/>
              <w:rPr>
                <w:b/>
                <w:bCs/>
              </w:rPr>
            </w:pPr>
            <w:r w:rsidRPr="00174A96">
              <w:rPr>
                <w:b/>
                <w:bCs/>
              </w:rPr>
              <w:t>Raspodjela sredstava (5 % se raspoređuje prema Ugovoru)</w:t>
            </w:r>
          </w:p>
        </w:tc>
        <w:tc>
          <w:tcPr>
            <w:tcW w:w="2564" w:type="dxa"/>
            <w:vAlign w:val="center"/>
          </w:tcPr>
          <w:p w14:paraId="58CB4601" w14:textId="77777777" w:rsidR="00986C2A" w:rsidRPr="00174A96" w:rsidRDefault="00986C2A" w:rsidP="00071285">
            <w:pPr>
              <w:spacing w:before="60" w:after="60"/>
              <w:jc w:val="right"/>
            </w:pPr>
            <w:r w:rsidRPr="00174A96">
              <w:t>10.138.461,60 HRK</w:t>
            </w:r>
          </w:p>
        </w:tc>
        <w:tc>
          <w:tcPr>
            <w:tcW w:w="2565" w:type="dxa"/>
            <w:vAlign w:val="center"/>
          </w:tcPr>
          <w:p w14:paraId="09498462" w14:textId="77777777" w:rsidR="00986C2A" w:rsidRPr="00174A96" w:rsidRDefault="00986C2A" w:rsidP="00071285">
            <w:pPr>
              <w:spacing w:before="60" w:after="60"/>
              <w:jc w:val="right"/>
            </w:pPr>
            <w:r w:rsidRPr="00174A96">
              <w:t>26.499.313,19 HRK</w:t>
            </w:r>
          </w:p>
        </w:tc>
        <w:tc>
          <w:tcPr>
            <w:tcW w:w="2565" w:type="dxa"/>
            <w:vAlign w:val="center"/>
          </w:tcPr>
          <w:p w14:paraId="64686C48" w14:textId="77777777" w:rsidR="00986C2A" w:rsidRPr="00174A96" w:rsidRDefault="00986C2A" w:rsidP="00071285">
            <w:pPr>
              <w:spacing w:before="60" w:after="60"/>
              <w:jc w:val="right"/>
            </w:pPr>
            <w:r w:rsidRPr="00174A96">
              <w:t>26.952.117,72 HRK</w:t>
            </w:r>
          </w:p>
        </w:tc>
        <w:tc>
          <w:tcPr>
            <w:tcW w:w="2565" w:type="dxa"/>
            <w:vAlign w:val="center"/>
          </w:tcPr>
          <w:p w14:paraId="150EE757" w14:textId="77777777" w:rsidR="00986C2A" w:rsidRPr="00174A96" w:rsidRDefault="00986C2A" w:rsidP="00071285">
            <w:pPr>
              <w:spacing w:before="60" w:after="60"/>
              <w:jc w:val="right"/>
            </w:pPr>
            <w:r w:rsidRPr="00174A96">
              <w:t>27.189.016,66 HRK</w:t>
            </w:r>
          </w:p>
        </w:tc>
        <w:tc>
          <w:tcPr>
            <w:tcW w:w="2565" w:type="dxa"/>
            <w:vAlign w:val="center"/>
          </w:tcPr>
          <w:p w14:paraId="77CDBEA2" w14:textId="77777777" w:rsidR="00986C2A" w:rsidRPr="00174A96" w:rsidRDefault="00986C2A" w:rsidP="00071285">
            <w:pPr>
              <w:spacing w:before="60" w:after="60"/>
              <w:jc w:val="right"/>
            </w:pPr>
            <w:r w:rsidRPr="00174A96">
              <w:t>90.778.909,17 HRK</w:t>
            </w:r>
          </w:p>
        </w:tc>
      </w:tr>
      <w:tr w:rsidR="00986C2A" w:rsidRPr="00174A96" w14:paraId="66CF22EE" w14:textId="77777777" w:rsidTr="00986C2A">
        <w:tc>
          <w:tcPr>
            <w:tcW w:w="2564" w:type="dxa"/>
            <w:shd w:val="clear" w:color="auto" w:fill="C6D9F1" w:themeFill="text2" w:themeFillTint="33"/>
          </w:tcPr>
          <w:p w14:paraId="34DA8787" w14:textId="77777777" w:rsidR="00986C2A" w:rsidRPr="00174A96" w:rsidRDefault="00986C2A" w:rsidP="00071285">
            <w:pPr>
              <w:spacing w:before="60" w:after="60"/>
              <w:jc w:val="left"/>
              <w:rPr>
                <w:b/>
                <w:bCs/>
              </w:rPr>
            </w:pPr>
            <w:r w:rsidRPr="00174A96">
              <w:rPr>
                <w:b/>
                <w:bCs/>
              </w:rPr>
              <w:t>MINGOR (2017. i 2018. g 75%, 2019. i 2020. 90%)</w:t>
            </w:r>
          </w:p>
        </w:tc>
        <w:tc>
          <w:tcPr>
            <w:tcW w:w="2564" w:type="dxa"/>
            <w:vAlign w:val="center"/>
          </w:tcPr>
          <w:p w14:paraId="3E8E18EA" w14:textId="77777777" w:rsidR="00986C2A" w:rsidRPr="00174A96" w:rsidRDefault="00986C2A" w:rsidP="00071285">
            <w:pPr>
              <w:spacing w:before="60" w:after="60"/>
              <w:jc w:val="right"/>
            </w:pPr>
            <w:r w:rsidRPr="00174A96">
              <w:t>7.603.846,24 HRK</w:t>
            </w:r>
          </w:p>
        </w:tc>
        <w:tc>
          <w:tcPr>
            <w:tcW w:w="2565" w:type="dxa"/>
            <w:vAlign w:val="center"/>
          </w:tcPr>
          <w:p w14:paraId="6C5E9ECC" w14:textId="77777777" w:rsidR="00986C2A" w:rsidRPr="00174A96" w:rsidRDefault="00986C2A" w:rsidP="00071285">
            <w:pPr>
              <w:spacing w:before="60" w:after="60"/>
              <w:jc w:val="right"/>
            </w:pPr>
            <w:r w:rsidRPr="00174A96">
              <w:t>19.874.484,91 HRK</w:t>
            </w:r>
          </w:p>
        </w:tc>
        <w:tc>
          <w:tcPr>
            <w:tcW w:w="2565" w:type="dxa"/>
            <w:vAlign w:val="center"/>
          </w:tcPr>
          <w:p w14:paraId="04FEF77E" w14:textId="77777777" w:rsidR="00986C2A" w:rsidRPr="00174A96" w:rsidRDefault="00986C2A" w:rsidP="00071285">
            <w:pPr>
              <w:spacing w:before="60" w:after="60"/>
              <w:jc w:val="right"/>
            </w:pPr>
            <w:r w:rsidRPr="00174A96">
              <w:t>24.256.905,87 HRK</w:t>
            </w:r>
          </w:p>
        </w:tc>
        <w:tc>
          <w:tcPr>
            <w:tcW w:w="2565" w:type="dxa"/>
            <w:vAlign w:val="center"/>
          </w:tcPr>
          <w:p w14:paraId="44694828" w14:textId="77777777" w:rsidR="00986C2A" w:rsidRPr="00174A96" w:rsidRDefault="00986C2A" w:rsidP="00071285">
            <w:pPr>
              <w:spacing w:before="60" w:after="60"/>
              <w:jc w:val="right"/>
            </w:pPr>
            <w:r w:rsidRPr="00174A96">
              <w:t>24.470.114,88 HRK</w:t>
            </w:r>
          </w:p>
        </w:tc>
        <w:tc>
          <w:tcPr>
            <w:tcW w:w="2565" w:type="dxa"/>
            <w:vAlign w:val="center"/>
          </w:tcPr>
          <w:p w14:paraId="160206E4" w14:textId="77777777" w:rsidR="00986C2A" w:rsidRPr="00174A96" w:rsidRDefault="00986C2A" w:rsidP="00071285">
            <w:pPr>
              <w:spacing w:before="60" w:after="60"/>
              <w:jc w:val="right"/>
            </w:pPr>
            <w:r w:rsidRPr="00174A96">
              <w:t>76.205.351,90 HRK</w:t>
            </w:r>
          </w:p>
        </w:tc>
      </w:tr>
      <w:tr w:rsidR="00986C2A" w:rsidRPr="00174A96" w14:paraId="5F364094" w14:textId="77777777" w:rsidTr="00986C2A">
        <w:tc>
          <w:tcPr>
            <w:tcW w:w="2564" w:type="dxa"/>
            <w:shd w:val="clear" w:color="auto" w:fill="C6D9F1" w:themeFill="text2" w:themeFillTint="33"/>
          </w:tcPr>
          <w:p w14:paraId="337BF6F4" w14:textId="77777777" w:rsidR="00986C2A" w:rsidRPr="00174A96" w:rsidRDefault="00986C2A" w:rsidP="00071285">
            <w:pPr>
              <w:spacing w:before="60" w:after="60"/>
              <w:jc w:val="left"/>
              <w:rPr>
                <w:b/>
                <w:bCs/>
              </w:rPr>
            </w:pPr>
            <w:r w:rsidRPr="00174A96">
              <w:rPr>
                <w:b/>
                <w:bCs/>
              </w:rPr>
              <w:t>HAOP (2017. i 2018. g 15%)</w:t>
            </w:r>
          </w:p>
        </w:tc>
        <w:tc>
          <w:tcPr>
            <w:tcW w:w="2564" w:type="dxa"/>
            <w:vAlign w:val="center"/>
          </w:tcPr>
          <w:p w14:paraId="35BDB719" w14:textId="77777777" w:rsidR="00986C2A" w:rsidRPr="00174A96" w:rsidRDefault="00986C2A" w:rsidP="00071285">
            <w:pPr>
              <w:spacing w:before="60" w:after="60"/>
              <w:jc w:val="right"/>
            </w:pPr>
            <w:r w:rsidRPr="00174A96">
              <w:t>1.520.769,22 HRK</w:t>
            </w:r>
          </w:p>
        </w:tc>
        <w:tc>
          <w:tcPr>
            <w:tcW w:w="2565" w:type="dxa"/>
            <w:vAlign w:val="center"/>
          </w:tcPr>
          <w:p w14:paraId="4A26065C" w14:textId="77777777" w:rsidR="00986C2A" w:rsidRPr="00174A96" w:rsidRDefault="00986C2A" w:rsidP="00071285">
            <w:pPr>
              <w:spacing w:before="60" w:after="60"/>
              <w:jc w:val="right"/>
            </w:pPr>
            <w:r w:rsidRPr="00174A96">
              <w:t>3.974.897,02 HRK</w:t>
            </w:r>
          </w:p>
        </w:tc>
        <w:tc>
          <w:tcPr>
            <w:tcW w:w="2565" w:type="dxa"/>
            <w:vAlign w:val="center"/>
          </w:tcPr>
          <w:p w14:paraId="2FCECDD1" w14:textId="77777777" w:rsidR="00986C2A" w:rsidRPr="00174A96" w:rsidRDefault="00986C2A" w:rsidP="00071285">
            <w:pPr>
              <w:spacing w:before="60" w:after="60"/>
              <w:jc w:val="right"/>
            </w:pPr>
            <w:r w:rsidRPr="00174A96">
              <w:t>0,00 HRK</w:t>
            </w:r>
          </w:p>
        </w:tc>
        <w:tc>
          <w:tcPr>
            <w:tcW w:w="2565" w:type="dxa"/>
            <w:vAlign w:val="center"/>
          </w:tcPr>
          <w:p w14:paraId="2BBA8EF6" w14:textId="77777777" w:rsidR="00986C2A" w:rsidRPr="00174A96" w:rsidRDefault="00986C2A" w:rsidP="00071285">
            <w:pPr>
              <w:spacing w:before="60" w:after="60"/>
              <w:jc w:val="right"/>
            </w:pPr>
            <w:r w:rsidRPr="00174A96">
              <w:t>0,00 HRK</w:t>
            </w:r>
          </w:p>
        </w:tc>
        <w:tc>
          <w:tcPr>
            <w:tcW w:w="2565" w:type="dxa"/>
            <w:vAlign w:val="center"/>
          </w:tcPr>
          <w:p w14:paraId="2F0B4A83" w14:textId="77777777" w:rsidR="00986C2A" w:rsidRPr="00174A96" w:rsidRDefault="00986C2A" w:rsidP="00071285">
            <w:pPr>
              <w:spacing w:before="60" w:after="60"/>
              <w:jc w:val="right"/>
            </w:pPr>
            <w:r w:rsidRPr="00174A96">
              <w:t>5.495.666,24 HRK</w:t>
            </w:r>
          </w:p>
        </w:tc>
      </w:tr>
      <w:tr w:rsidR="00986C2A" w:rsidRPr="00174A96" w14:paraId="62AA99FA" w14:textId="77777777" w:rsidTr="00986C2A">
        <w:tc>
          <w:tcPr>
            <w:tcW w:w="2564" w:type="dxa"/>
            <w:shd w:val="clear" w:color="auto" w:fill="C6D9F1" w:themeFill="text2" w:themeFillTint="33"/>
          </w:tcPr>
          <w:p w14:paraId="3F58686C" w14:textId="2F7AF004" w:rsidR="00986C2A" w:rsidRPr="00174A96" w:rsidRDefault="00ED5D7F" w:rsidP="00071285">
            <w:pPr>
              <w:spacing w:before="60" w:after="60"/>
              <w:jc w:val="left"/>
              <w:rPr>
                <w:b/>
                <w:bCs/>
              </w:rPr>
            </w:pPr>
            <w:r>
              <w:rPr>
                <w:b/>
                <w:bCs/>
              </w:rPr>
              <w:t>FOND</w:t>
            </w:r>
            <w:r w:rsidR="00986C2A" w:rsidRPr="00174A96">
              <w:rPr>
                <w:b/>
                <w:bCs/>
              </w:rPr>
              <w:t xml:space="preserve"> (10%)</w:t>
            </w:r>
          </w:p>
        </w:tc>
        <w:tc>
          <w:tcPr>
            <w:tcW w:w="2564" w:type="dxa"/>
            <w:vAlign w:val="center"/>
          </w:tcPr>
          <w:p w14:paraId="3DAADE56" w14:textId="77777777" w:rsidR="00986C2A" w:rsidRPr="00174A96" w:rsidRDefault="00986C2A" w:rsidP="00071285">
            <w:pPr>
              <w:spacing w:before="60" w:after="60"/>
              <w:jc w:val="right"/>
            </w:pPr>
            <w:r w:rsidRPr="00174A96">
              <w:t>1.013.846,14 HRK</w:t>
            </w:r>
          </w:p>
        </w:tc>
        <w:tc>
          <w:tcPr>
            <w:tcW w:w="2565" w:type="dxa"/>
            <w:vAlign w:val="center"/>
          </w:tcPr>
          <w:p w14:paraId="5F2060AF" w14:textId="77777777" w:rsidR="00986C2A" w:rsidRPr="00174A96" w:rsidRDefault="00986C2A" w:rsidP="00071285">
            <w:pPr>
              <w:spacing w:before="60" w:after="60"/>
              <w:jc w:val="right"/>
            </w:pPr>
            <w:r w:rsidRPr="00174A96">
              <w:t>2.649.931,26 HRK</w:t>
            </w:r>
          </w:p>
        </w:tc>
        <w:tc>
          <w:tcPr>
            <w:tcW w:w="2565" w:type="dxa"/>
            <w:vAlign w:val="center"/>
          </w:tcPr>
          <w:p w14:paraId="7829F270" w14:textId="77777777" w:rsidR="00986C2A" w:rsidRPr="00174A96" w:rsidRDefault="00986C2A" w:rsidP="00071285">
            <w:pPr>
              <w:spacing w:before="60" w:after="60"/>
              <w:jc w:val="right"/>
            </w:pPr>
            <w:r w:rsidRPr="00174A96">
              <w:t>2.695.211,85 HRK</w:t>
            </w:r>
          </w:p>
        </w:tc>
        <w:tc>
          <w:tcPr>
            <w:tcW w:w="2565" w:type="dxa"/>
            <w:vAlign w:val="center"/>
          </w:tcPr>
          <w:p w14:paraId="7C469CDC" w14:textId="77777777" w:rsidR="00986C2A" w:rsidRPr="00174A96" w:rsidRDefault="00986C2A" w:rsidP="00071285">
            <w:pPr>
              <w:spacing w:before="60" w:after="60"/>
              <w:jc w:val="right"/>
            </w:pPr>
            <w:r w:rsidRPr="00174A96">
              <w:t>2.718.901,78 HRK</w:t>
            </w:r>
          </w:p>
        </w:tc>
        <w:tc>
          <w:tcPr>
            <w:tcW w:w="2565" w:type="dxa"/>
            <w:vAlign w:val="center"/>
          </w:tcPr>
          <w:p w14:paraId="3BFC8C99" w14:textId="77777777" w:rsidR="00986C2A" w:rsidRPr="00174A96" w:rsidRDefault="00986C2A" w:rsidP="00071285">
            <w:pPr>
              <w:spacing w:before="60" w:after="60"/>
              <w:jc w:val="right"/>
            </w:pPr>
            <w:r w:rsidRPr="00174A96">
              <w:t>9.077.891,03 HRK</w:t>
            </w:r>
          </w:p>
        </w:tc>
      </w:tr>
      <w:tr w:rsidR="00986C2A" w:rsidRPr="00174A96" w14:paraId="2AA6CCF5" w14:textId="77777777" w:rsidTr="00986C2A">
        <w:trPr>
          <w:trHeight w:val="861"/>
        </w:trPr>
        <w:tc>
          <w:tcPr>
            <w:tcW w:w="2564" w:type="dxa"/>
            <w:shd w:val="clear" w:color="auto" w:fill="C6D9F1" w:themeFill="text2" w:themeFillTint="33"/>
          </w:tcPr>
          <w:p w14:paraId="45E20834" w14:textId="0916A22C" w:rsidR="00986C2A" w:rsidRPr="00174A96" w:rsidRDefault="00ED5D7F" w:rsidP="00071285">
            <w:pPr>
              <w:spacing w:before="60" w:after="60"/>
              <w:jc w:val="left"/>
              <w:rPr>
                <w:b/>
                <w:bCs/>
              </w:rPr>
            </w:pPr>
            <w:r>
              <w:rPr>
                <w:b/>
                <w:bCs/>
              </w:rPr>
              <w:t>FOND</w:t>
            </w:r>
            <w:r w:rsidR="00986C2A" w:rsidRPr="00174A96">
              <w:rPr>
                <w:b/>
                <w:bCs/>
              </w:rPr>
              <w:t xml:space="preserve"> 95% prihod od emisija za projekte</w:t>
            </w:r>
          </w:p>
        </w:tc>
        <w:tc>
          <w:tcPr>
            <w:tcW w:w="2564" w:type="dxa"/>
            <w:vAlign w:val="center"/>
          </w:tcPr>
          <w:p w14:paraId="0B617A73" w14:textId="77777777" w:rsidR="00986C2A" w:rsidRPr="00174A96" w:rsidRDefault="00986C2A" w:rsidP="00071285">
            <w:pPr>
              <w:spacing w:before="60" w:after="60"/>
              <w:jc w:val="right"/>
              <w:rPr>
                <w:b/>
              </w:rPr>
            </w:pPr>
            <w:r w:rsidRPr="00174A96">
              <w:rPr>
                <w:b/>
              </w:rPr>
              <w:t>192.630.770,88 HRK</w:t>
            </w:r>
          </w:p>
        </w:tc>
        <w:tc>
          <w:tcPr>
            <w:tcW w:w="2565" w:type="dxa"/>
            <w:vAlign w:val="center"/>
          </w:tcPr>
          <w:p w14:paraId="35A35329" w14:textId="77777777" w:rsidR="00986C2A" w:rsidRPr="00174A96" w:rsidRDefault="00986C2A" w:rsidP="00071285">
            <w:pPr>
              <w:spacing w:before="60" w:after="60"/>
              <w:jc w:val="right"/>
              <w:rPr>
                <w:b/>
              </w:rPr>
            </w:pPr>
            <w:r w:rsidRPr="00174A96">
              <w:rPr>
                <w:b/>
              </w:rPr>
              <w:t>503.486.950,81 HRK</w:t>
            </w:r>
          </w:p>
        </w:tc>
        <w:tc>
          <w:tcPr>
            <w:tcW w:w="2565" w:type="dxa"/>
            <w:vAlign w:val="center"/>
          </w:tcPr>
          <w:p w14:paraId="55BA2D60" w14:textId="77777777" w:rsidR="00986C2A" w:rsidRPr="00174A96" w:rsidRDefault="00986C2A" w:rsidP="00071285">
            <w:pPr>
              <w:spacing w:before="60" w:after="60"/>
              <w:jc w:val="right"/>
              <w:rPr>
                <w:b/>
              </w:rPr>
            </w:pPr>
            <w:r w:rsidRPr="00174A96">
              <w:rPr>
                <w:b/>
              </w:rPr>
              <w:t>512.090.235,96 HRK</w:t>
            </w:r>
          </w:p>
        </w:tc>
        <w:tc>
          <w:tcPr>
            <w:tcW w:w="2565" w:type="dxa"/>
            <w:vAlign w:val="center"/>
          </w:tcPr>
          <w:p w14:paraId="626BA1C7" w14:textId="77777777" w:rsidR="00986C2A" w:rsidRPr="00174A96" w:rsidRDefault="00986C2A" w:rsidP="00071285">
            <w:pPr>
              <w:spacing w:before="60" w:after="60"/>
              <w:jc w:val="right"/>
              <w:rPr>
                <w:b/>
              </w:rPr>
            </w:pPr>
            <w:r w:rsidRPr="00174A96">
              <w:rPr>
                <w:b/>
              </w:rPr>
              <w:t>516.591.316,41 HRK</w:t>
            </w:r>
          </w:p>
        </w:tc>
        <w:tc>
          <w:tcPr>
            <w:tcW w:w="2565" w:type="dxa"/>
            <w:vAlign w:val="center"/>
          </w:tcPr>
          <w:p w14:paraId="562A2A54" w14:textId="77777777" w:rsidR="00986C2A" w:rsidRPr="00174A96" w:rsidRDefault="00986C2A" w:rsidP="00071285">
            <w:pPr>
              <w:spacing w:before="60" w:after="60"/>
              <w:jc w:val="right"/>
              <w:rPr>
                <w:b/>
              </w:rPr>
            </w:pPr>
            <w:r w:rsidRPr="00174A96">
              <w:rPr>
                <w:b/>
              </w:rPr>
              <w:t>1.724.799.274,06 HRK</w:t>
            </w:r>
          </w:p>
        </w:tc>
      </w:tr>
    </w:tbl>
    <w:p w14:paraId="5C1190D2" w14:textId="77777777" w:rsidR="00986C2A" w:rsidRPr="00174A96" w:rsidRDefault="00986C2A" w:rsidP="00986C2A">
      <w:pPr>
        <w:spacing w:after="0" w:line="240" w:lineRule="auto"/>
        <w:jc w:val="center"/>
      </w:pPr>
    </w:p>
    <w:p w14:paraId="45025734" w14:textId="5933FD30" w:rsidR="00986C2A" w:rsidRPr="00174A96" w:rsidRDefault="00986C2A" w:rsidP="00986C2A">
      <w:pPr>
        <w:spacing w:before="60" w:after="60" w:line="240" w:lineRule="auto"/>
        <w:rPr>
          <w:rFonts w:eastAsia="Times New Roman"/>
          <w:b/>
          <w:lang w:eastAsia="hr-HR"/>
        </w:rPr>
      </w:pPr>
      <w:r>
        <w:br w:type="page"/>
      </w:r>
      <w:r w:rsidRPr="00174A96">
        <w:rPr>
          <w:i/>
        </w:rPr>
        <w:lastRenderedPageBreak/>
        <w:t>Prilog 2.</w:t>
      </w:r>
      <w:r>
        <w:rPr>
          <w:i/>
        </w:rPr>
        <w:t>1</w:t>
      </w:r>
      <w:r w:rsidRPr="00174A96">
        <w:rPr>
          <w:i/>
        </w:rPr>
        <w:t xml:space="preserve">: </w:t>
      </w:r>
      <w:r w:rsidRPr="00174A96">
        <w:rPr>
          <w:rFonts w:eastAsia="Times New Roman"/>
          <w:b/>
          <w:lang w:eastAsia="hr-HR"/>
        </w:rPr>
        <w:t xml:space="preserve">Rekapitulacija Plana </w:t>
      </w:r>
      <w:r>
        <w:rPr>
          <w:rFonts w:eastAsia="Times New Roman"/>
          <w:b/>
          <w:lang w:eastAsia="hr-HR"/>
        </w:rPr>
        <w:t>I.</w:t>
      </w:r>
    </w:p>
    <w:tbl>
      <w:tblPr>
        <w:tblStyle w:val="Reetkatablice"/>
        <w:tblW w:w="0" w:type="auto"/>
        <w:tblLook w:val="04A0" w:firstRow="1" w:lastRow="0" w:firstColumn="1" w:lastColumn="0" w:noHBand="0" w:noVBand="1"/>
      </w:tblPr>
      <w:tblGrid>
        <w:gridCol w:w="1716"/>
        <w:gridCol w:w="1716"/>
        <w:gridCol w:w="1703"/>
        <w:gridCol w:w="1716"/>
        <w:gridCol w:w="1706"/>
        <w:gridCol w:w="1716"/>
        <w:gridCol w:w="1709"/>
        <w:gridCol w:w="1703"/>
      </w:tblGrid>
      <w:tr w:rsidR="00986C2A" w:rsidRPr="002462BB" w14:paraId="7ABCB827" w14:textId="77777777" w:rsidTr="00071285">
        <w:tc>
          <w:tcPr>
            <w:tcW w:w="1716" w:type="dxa"/>
            <w:shd w:val="clear" w:color="auto" w:fill="C6D9F1" w:themeFill="text2" w:themeFillTint="33"/>
            <w:vAlign w:val="center"/>
          </w:tcPr>
          <w:p w14:paraId="05D8505E" w14:textId="77777777" w:rsidR="00986C2A" w:rsidRPr="002462BB" w:rsidRDefault="00986C2A" w:rsidP="00071285">
            <w:pPr>
              <w:spacing w:before="60" w:after="60"/>
              <w:jc w:val="center"/>
              <w:rPr>
                <w:b/>
              </w:rPr>
            </w:pPr>
            <w:r w:rsidRPr="002462BB">
              <w:rPr>
                <w:b/>
              </w:rPr>
              <w:t xml:space="preserve">Ukupan prihod </w:t>
            </w:r>
          </w:p>
          <w:p w14:paraId="568FDDE5" w14:textId="77777777" w:rsidR="00986C2A" w:rsidRPr="002462BB" w:rsidRDefault="00986C2A" w:rsidP="00071285">
            <w:pPr>
              <w:spacing w:before="60" w:after="60"/>
              <w:jc w:val="center"/>
              <w:rPr>
                <w:b/>
              </w:rPr>
            </w:pPr>
          </w:p>
          <w:p w14:paraId="6840796C" w14:textId="77777777" w:rsidR="00986C2A" w:rsidRPr="002462BB" w:rsidRDefault="00986C2A" w:rsidP="00071285">
            <w:pPr>
              <w:spacing w:before="60" w:after="60"/>
              <w:jc w:val="center"/>
              <w:rPr>
                <w:b/>
              </w:rPr>
            </w:pPr>
            <w:r w:rsidRPr="002462BB">
              <w:rPr>
                <w:b/>
                <w:bCs/>
                <w:color w:val="000000"/>
              </w:rPr>
              <w:t>[EUR]</w:t>
            </w:r>
          </w:p>
        </w:tc>
        <w:tc>
          <w:tcPr>
            <w:tcW w:w="1716" w:type="dxa"/>
            <w:shd w:val="clear" w:color="auto" w:fill="C6D9F1" w:themeFill="text2" w:themeFillTint="33"/>
            <w:vAlign w:val="center"/>
          </w:tcPr>
          <w:p w14:paraId="0C7F1F45" w14:textId="77777777" w:rsidR="00986C2A" w:rsidRPr="002462BB" w:rsidRDefault="00986C2A" w:rsidP="00071285">
            <w:pPr>
              <w:spacing w:before="60" w:after="60"/>
              <w:jc w:val="center"/>
              <w:rPr>
                <w:b/>
              </w:rPr>
            </w:pPr>
            <w:r>
              <w:rPr>
                <w:b/>
              </w:rPr>
              <w:t>Preuzeta obveza</w:t>
            </w:r>
            <w:r w:rsidRPr="002462BB">
              <w:rPr>
                <w:b/>
              </w:rPr>
              <w:t xml:space="preserve"> (ugovoreno)</w:t>
            </w:r>
          </w:p>
          <w:p w14:paraId="03DF5749" w14:textId="77777777" w:rsidR="00986C2A" w:rsidRPr="002462BB" w:rsidRDefault="00986C2A" w:rsidP="00071285">
            <w:pPr>
              <w:spacing w:before="60" w:after="60"/>
              <w:jc w:val="center"/>
              <w:rPr>
                <w:b/>
              </w:rPr>
            </w:pPr>
          </w:p>
          <w:p w14:paraId="2A244E5B" w14:textId="77777777" w:rsidR="00986C2A" w:rsidRPr="002462BB" w:rsidRDefault="00986C2A" w:rsidP="00071285">
            <w:pPr>
              <w:spacing w:before="60" w:after="60"/>
              <w:jc w:val="center"/>
              <w:rPr>
                <w:b/>
              </w:rPr>
            </w:pPr>
            <w:r w:rsidRPr="002462BB">
              <w:rPr>
                <w:b/>
                <w:bCs/>
                <w:color w:val="000000"/>
              </w:rPr>
              <w:t>[EUR]</w:t>
            </w:r>
          </w:p>
        </w:tc>
        <w:tc>
          <w:tcPr>
            <w:tcW w:w="1703" w:type="dxa"/>
            <w:shd w:val="clear" w:color="auto" w:fill="C6D9F1" w:themeFill="text2" w:themeFillTint="33"/>
            <w:vAlign w:val="center"/>
          </w:tcPr>
          <w:p w14:paraId="4DDED3CC" w14:textId="77777777" w:rsidR="00986C2A" w:rsidRPr="002462BB" w:rsidRDefault="00986C2A" w:rsidP="00071285">
            <w:pPr>
              <w:spacing w:before="60" w:after="60"/>
              <w:jc w:val="center"/>
              <w:rPr>
                <w:b/>
              </w:rPr>
            </w:pPr>
            <w:r w:rsidRPr="002462BB">
              <w:rPr>
                <w:b/>
              </w:rPr>
              <w:t>Preuzeto od ukupnog prihoda</w:t>
            </w:r>
          </w:p>
          <w:p w14:paraId="787011AC" w14:textId="77777777" w:rsidR="00986C2A" w:rsidRPr="002462BB" w:rsidRDefault="00986C2A" w:rsidP="00071285">
            <w:pPr>
              <w:spacing w:before="60" w:after="60"/>
              <w:jc w:val="center"/>
              <w:rPr>
                <w:b/>
              </w:rPr>
            </w:pPr>
          </w:p>
          <w:p w14:paraId="7E62E825" w14:textId="77777777" w:rsidR="00986C2A" w:rsidRPr="002462BB" w:rsidRDefault="00986C2A" w:rsidP="00071285">
            <w:pPr>
              <w:spacing w:before="60" w:after="60"/>
              <w:jc w:val="center"/>
              <w:rPr>
                <w:b/>
              </w:rPr>
            </w:pPr>
            <w:r w:rsidRPr="002462BB">
              <w:rPr>
                <w:b/>
              </w:rPr>
              <w:t>%</w:t>
            </w:r>
          </w:p>
        </w:tc>
        <w:tc>
          <w:tcPr>
            <w:tcW w:w="1716" w:type="dxa"/>
            <w:shd w:val="clear" w:color="auto" w:fill="C6D9F1" w:themeFill="text2" w:themeFillTint="33"/>
            <w:vAlign w:val="center"/>
          </w:tcPr>
          <w:p w14:paraId="3370CC9A" w14:textId="77777777" w:rsidR="00986C2A" w:rsidRPr="002462BB" w:rsidRDefault="00986C2A" w:rsidP="00071285">
            <w:pPr>
              <w:spacing w:before="60" w:after="60"/>
              <w:jc w:val="center"/>
              <w:rPr>
                <w:b/>
              </w:rPr>
            </w:pPr>
            <w:r w:rsidRPr="002462BB">
              <w:rPr>
                <w:b/>
              </w:rPr>
              <w:t>Realizirano (isplaćeno) 2017-2024.</w:t>
            </w:r>
          </w:p>
          <w:p w14:paraId="0965FED9" w14:textId="77777777" w:rsidR="00986C2A" w:rsidRPr="002462BB" w:rsidRDefault="00986C2A" w:rsidP="00071285">
            <w:pPr>
              <w:spacing w:before="60" w:after="60"/>
              <w:jc w:val="center"/>
              <w:rPr>
                <w:b/>
              </w:rPr>
            </w:pPr>
          </w:p>
          <w:p w14:paraId="28EE8893" w14:textId="77777777" w:rsidR="00986C2A" w:rsidRPr="002462BB" w:rsidRDefault="00986C2A" w:rsidP="00071285">
            <w:pPr>
              <w:spacing w:before="60" w:after="60"/>
              <w:jc w:val="center"/>
              <w:rPr>
                <w:b/>
              </w:rPr>
            </w:pPr>
            <w:r w:rsidRPr="002462BB">
              <w:rPr>
                <w:b/>
                <w:bCs/>
                <w:color w:val="000000"/>
              </w:rPr>
              <w:t>[EUR]</w:t>
            </w:r>
          </w:p>
        </w:tc>
        <w:tc>
          <w:tcPr>
            <w:tcW w:w="1706" w:type="dxa"/>
            <w:shd w:val="clear" w:color="auto" w:fill="C6D9F1" w:themeFill="text2" w:themeFillTint="33"/>
            <w:vAlign w:val="center"/>
          </w:tcPr>
          <w:p w14:paraId="61FA3CA7" w14:textId="77777777" w:rsidR="00986C2A" w:rsidRPr="002462BB" w:rsidRDefault="00986C2A" w:rsidP="00071285">
            <w:pPr>
              <w:spacing w:before="60" w:after="60"/>
              <w:rPr>
                <w:b/>
              </w:rPr>
            </w:pPr>
            <w:r w:rsidRPr="002462BB">
              <w:rPr>
                <w:b/>
              </w:rPr>
              <w:t>Realizirano (isplaćeno) 2017.-2024. od preuzete obveze</w:t>
            </w:r>
          </w:p>
          <w:p w14:paraId="57F5B6EC" w14:textId="77777777" w:rsidR="00986C2A" w:rsidRPr="002462BB" w:rsidRDefault="00986C2A" w:rsidP="00071285">
            <w:pPr>
              <w:spacing w:before="60" w:after="60"/>
              <w:jc w:val="center"/>
              <w:rPr>
                <w:b/>
              </w:rPr>
            </w:pPr>
            <w:r w:rsidRPr="002462BB">
              <w:rPr>
                <w:b/>
              </w:rPr>
              <w:t>%</w:t>
            </w:r>
          </w:p>
        </w:tc>
        <w:tc>
          <w:tcPr>
            <w:tcW w:w="1716" w:type="dxa"/>
            <w:shd w:val="clear" w:color="auto" w:fill="C6D9F1" w:themeFill="text2" w:themeFillTint="33"/>
            <w:vAlign w:val="center"/>
          </w:tcPr>
          <w:p w14:paraId="087756ED" w14:textId="77777777" w:rsidR="00986C2A" w:rsidRPr="002462BB" w:rsidRDefault="00986C2A" w:rsidP="00071285">
            <w:pPr>
              <w:spacing w:before="60" w:after="60"/>
              <w:jc w:val="center"/>
              <w:rPr>
                <w:b/>
              </w:rPr>
            </w:pPr>
            <w:r w:rsidRPr="002462BB">
              <w:rPr>
                <w:b/>
              </w:rPr>
              <w:t>Neutrošen</w:t>
            </w:r>
            <w:r>
              <w:rPr>
                <w:b/>
              </w:rPr>
              <w:t>e</w:t>
            </w:r>
            <w:r w:rsidRPr="002462BB">
              <w:rPr>
                <w:b/>
              </w:rPr>
              <w:t xml:space="preserve"> </w:t>
            </w:r>
            <w:r>
              <w:rPr>
                <w:b/>
              </w:rPr>
              <w:t>preuzete obveze na</w:t>
            </w:r>
            <w:r w:rsidRPr="002462BB">
              <w:rPr>
                <w:b/>
              </w:rPr>
              <w:t xml:space="preserve"> 31.12.2024. (neisplaćeno), </w:t>
            </w:r>
            <w:r w:rsidRPr="002462BB">
              <w:rPr>
                <w:b/>
                <w:bCs/>
                <w:color w:val="000000"/>
              </w:rPr>
              <w:t>[EUR]</w:t>
            </w:r>
          </w:p>
        </w:tc>
        <w:tc>
          <w:tcPr>
            <w:tcW w:w="1709" w:type="dxa"/>
            <w:shd w:val="clear" w:color="auto" w:fill="C6D9F1" w:themeFill="text2" w:themeFillTint="33"/>
            <w:vAlign w:val="center"/>
          </w:tcPr>
          <w:p w14:paraId="654E77BF" w14:textId="77777777" w:rsidR="00986C2A" w:rsidRPr="002462BB" w:rsidRDefault="00986C2A" w:rsidP="00071285">
            <w:pPr>
              <w:spacing w:before="60" w:after="60"/>
              <w:jc w:val="center"/>
              <w:rPr>
                <w:b/>
              </w:rPr>
            </w:pPr>
            <w:r w:rsidRPr="002462BB">
              <w:rPr>
                <w:b/>
              </w:rPr>
              <w:t>Preostali iznos prenesen u Plan</w:t>
            </w:r>
            <w:r>
              <w:rPr>
                <w:b/>
              </w:rPr>
              <w:t xml:space="preserve"> II</w:t>
            </w:r>
          </w:p>
          <w:p w14:paraId="0E54B654" w14:textId="77777777" w:rsidR="00986C2A" w:rsidRPr="002462BB" w:rsidRDefault="00986C2A" w:rsidP="00071285">
            <w:pPr>
              <w:spacing w:before="60" w:after="60"/>
              <w:jc w:val="center"/>
              <w:rPr>
                <w:b/>
              </w:rPr>
            </w:pPr>
          </w:p>
          <w:p w14:paraId="62E3631F" w14:textId="77777777" w:rsidR="00986C2A" w:rsidRPr="002462BB" w:rsidRDefault="00986C2A" w:rsidP="00071285">
            <w:pPr>
              <w:spacing w:before="60" w:after="60"/>
              <w:jc w:val="center"/>
              <w:rPr>
                <w:b/>
              </w:rPr>
            </w:pPr>
            <w:r w:rsidRPr="002462BB">
              <w:rPr>
                <w:b/>
                <w:bCs/>
                <w:color w:val="000000"/>
              </w:rPr>
              <w:t>[EUR]</w:t>
            </w:r>
          </w:p>
        </w:tc>
        <w:tc>
          <w:tcPr>
            <w:tcW w:w="1703" w:type="dxa"/>
            <w:shd w:val="clear" w:color="auto" w:fill="C6D9F1" w:themeFill="text2" w:themeFillTint="33"/>
            <w:vAlign w:val="center"/>
          </w:tcPr>
          <w:p w14:paraId="485E755A" w14:textId="77777777" w:rsidR="00986C2A" w:rsidRPr="002462BB" w:rsidRDefault="00986C2A" w:rsidP="00071285">
            <w:pPr>
              <w:spacing w:before="60" w:after="60"/>
              <w:rPr>
                <w:b/>
              </w:rPr>
            </w:pPr>
            <w:r w:rsidRPr="002462BB">
              <w:rPr>
                <w:b/>
              </w:rPr>
              <w:t>Preostali iznos prenesen u novi Plan</w:t>
            </w:r>
          </w:p>
          <w:p w14:paraId="6AC8D668" w14:textId="77777777" w:rsidR="00986C2A" w:rsidRPr="002462BB" w:rsidRDefault="00986C2A" w:rsidP="00071285">
            <w:pPr>
              <w:spacing w:before="60" w:after="60"/>
              <w:rPr>
                <w:b/>
              </w:rPr>
            </w:pPr>
          </w:p>
          <w:p w14:paraId="35D65662" w14:textId="77777777" w:rsidR="00986C2A" w:rsidRPr="002462BB" w:rsidRDefault="00986C2A" w:rsidP="00071285">
            <w:pPr>
              <w:spacing w:before="60" w:after="60"/>
              <w:jc w:val="center"/>
              <w:rPr>
                <w:b/>
              </w:rPr>
            </w:pPr>
            <w:r w:rsidRPr="002462BB">
              <w:rPr>
                <w:b/>
              </w:rPr>
              <w:t>%</w:t>
            </w:r>
          </w:p>
        </w:tc>
      </w:tr>
      <w:tr w:rsidR="00986C2A" w:rsidRPr="002462BB" w14:paraId="054A37B8" w14:textId="77777777" w:rsidTr="00071285">
        <w:trPr>
          <w:trHeight w:val="837"/>
        </w:trPr>
        <w:tc>
          <w:tcPr>
            <w:tcW w:w="1716" w:type="dxa"/>
            <w:vAlign w:val="center"/>
          </w:tcPr>
          <w:p w14:paraId="34F1A61B" w14:textId="77777777" w:rsidR="00986C2A" w:rsidRPr="002462BB" w:rsidRDefault="00986C2A" w:rsidP="00071285">
            <w:pPr>
              <w:spacing w:before="60" w:after="60"/>
              <w:jc w:val="center"/>
              <w:rPr>
                <w:b/>
              </w:rPr>
            </w:pPr>
            <w:r w:rsidRPr="002462BB">
              <w:rPr>
                <w:b/>
              </w:rPr>
              <w:t>228.920.20</w:t>
            </w:r>
            <w:r>
              <w:rPr>
                <w:b/>
              </w:rPr>
              <w:t>3,61</w:t>
            </w:r>
            <w:r w:rsidRPr="002462BB">
              <w:rPr>
                <w:b/>
              </w:rPr>
              <w:t xml:space="preserve"> </w:t>
            </w:r>
          </w:p>
        </w:tc>
        <w:tc>
          <w:tcPr>
            <w:tcW w:w="1716" w:type="dxa"/>
            <w:vAlign w:val="center"/>
          </w:tcPr>
          <w:p w14:paraId="357E300D" w14:textId="77777777" w:rsidR="00986C2A" w:rsidRPr="002462BB" w:rsidRDefault="00986C2A" w:rsidP="00071285">
            <w:pPr>
              <w:spacing w:before="60" w:after="60"/>
              <w:jc w:val="center"/>
              <w:rPr>
                <w:b/>
              </w:rPr>
            </w:pPr>
            <w:r w:rsidRPr="002462BB">
              <w:rPr>
                <w:b/>
              </w:rPr>
              <w:t>203.775.175,</w:t>
            </w:r>
            <w:r>
              <w:rPr>
                <w:b/>
              </w:rPr>
              <w:t>99</w:t>
            </w:r>
          </w:p>
        </w:tc>
        <w:tc>
          <w:tcPr>
            <w:tcW w:w="1703" w:type="dxa"/>
            <w:vAlign w:val="center"/>
          </w:tcPr>
          <w:p w14:paraId="45063F2F" w14:textId="77777777" w:rsidR="00986C2A" w:rsidRPr="002462BB" w:rsidRDefault="00986C2A" w:rsidP="00071285">
            <w:pPr>
              <w:spacing w:before="60" w:after="60"/>
              <w:jc w:val="center"/>
              <w:rPr>
                <w:b/>
              </w:rPr>
            </w:pPr>
            <w:r w:rsidRPr="002462BB">
              <w:rPr>
                <w:b/>
              </w:rPr>
              <w:t>89,0</w:t>
            </w:r>
          </w:p>
        </w:tc>
        <w:tc>
          <w:tcPr>
            <w:tcW w:w="1716" w:type="dxa"/>
            <w:vAlign w:val="center"/>
          </w:tcPr>
          <w:p w14:paraId="1BB2CD76" w14:textId="77777777" w:rsidR="00986C2A" w:rsidRPr="002462BB" w:rsidRDefault="00986C2A" w:rsidP="00071285">
            <w:pPr>
              <w:spacing w:before="60" w:after="60"/>
              <w:jc w:val="center"/>
              <w:rPr>
                <w:b/>
              </w:rPr>
            </w:pPr>
            <w:r w:rsidRPr="002462BB">
              <w:rPr>
                <w:b/>
              </w:rPr>
              <w:t>166.833.643,95</w:t>
            </w:r>
          </w:p>
        </w:tc>
        <w:tc>
          <w:tcPr>
            <w:tcW w:w="1706" w:type="dxa"/>
            <w:vAlign w:val="center"/>
          </w:tcPr>
          <w:p w14:paraId="3580E41C" w14:textId="77777777" w:rsidR="00986C2A" w:rsidRPr="002462BB" w:rsidRDefault="00986C2A" w:rsidP="00071285">
            <w:pPr>
              <w:spacing w:before="60" w:after="60"/>
              <w:jc w:val="center"/>
              <w:rPr>
                <w:b/>
              </w:rPr>
            </w:pPr>
            <w:r w:rsidRPr="002462BB">
              <w:rPr>
                <w:b/>
              </w:rPr>
              <w:t>81,87</w:t>
            </w:r>
          </w:p>
        </w:tc>
        <w:tc>
          <w:tcPr>
            <w:tcW w:w="1716" w:type="dxa"/>
            <w:vAlign w:val="center"/>
          </w:tcPr>
          <w:p w14:paraId="2CBBE183" w14:textId="77777777" w:rsidR="00986C2A" w:rsidRPr="002462BB" w:rsidRDefault="00986C2A" w:rsidP="00071285">
            <w:pPr>
              <w:spacing w:before="60" w:after="60"/>
              <w:jc w:val="center"/>
              <w:rPr>
                <w:b/>
              </w:rPr>
            </w:pPr>
            <w:r w:rsidRPr="00775F67">
              <w:rPr>
                <w:rFonts w:eastAsia="Times New Roman"/>
                <w:b/>
                <w:bCs/>
                <w:color w:val="000000"/>
                <w:lang w:eastAsia="hr-HR"/>
              </w:rPr>
              <w:t>23.970.962,31</w:t>
            </w:r>
            <w:r>
              <w:rPr>
                <w:rFonts w:eastAsia="Times New Roman"/>
                <w:b/>
                <w:bCs/>
                <w:color w:val="000000"/>
                <w:lang w:eastAsia="hr-HR"/>
              </w:rPr>
              <w:t>*</w:t>
            </w:r>
          </w:p>
        </w:tc>
        <w:tc>
          <w:tcPr>
            <w:tcW w:w="1709" w:type="dxa"/>
            <w:vAlign w:val="center"/>
          </w:tcPr>
          <w:p w14:paraId="3EC7222D" w14:textId="77777777" w:rsidR="00986C2A" w:rsidRPr="002462BB" w:rsidRDefault="00986C2A" w:rsidP="00071285">
            <w:pPr>
              <w:spacing w:before="60" w:after="60"/>
              <w:jc w:val="center"/>
              <w:rPr>
                <w:b/>
              </w:rPr>
            </w:pPr>
            <w:r>
              <w:rPr>
                <w:b/>
              </w:rPr>
              <w:t>39.368.704,44</w:t>
            </w:r>
          </w:p>
        </w:tc>
        <w:tc>
          <w:tcPr>
            <w:tcW w:w="1703" w:type="dxa"/>
            <w:vAlign w:val="center"/>
          </w:tcPr>
          <w:p w14:paraId="7876EC0A" w14:textId="77777777" w:rsidR="00986C2A" w:rsidRPr="002462BB" w:rsidRDefault="00986C2A" w:rsidP="00071285">
            <w:pPr>
              <w:spacing w:before="60" w:after="60"/>
              <w:jc w:val="center"/>
              <w:rPr>
                <w:b/>
              </w:rPr>
            </w:pPr>
            <w:r>
              <w:rPr>
                <w:b/>
              </w:rPr>
              <w:t>17,2</w:t>
            </w:r>
          </w:p>
        </w:tc>
      </w:tr>
    </w:tbl>
    <w:p w14:paraId="0B483988" w14:textId="77777777" w:rsidR="00986C2A" w:rsidRDefault="00986C2A" w:rsidP="00986C2A">
      <w:pPr>
        <w:spacing w:after="0" w:line="240" w:lineRule="auto"/>
      </w:pPr>
    </w:p>
    <w:p w14:paraId="6CD3C5E9" w14:textId="77777777" w:rsidR="00986C2A" w:rsidRDefault="00986C2A" w:rsidP="00986C2A">
      <w:pPr>
        <w:spacing w:after="0" w:line="240" w:lineRule="auto"/>
      </w:pPr>
      <w:r w:rsidRPr="00174A96">
        <w:t>*</w:t>
      </w:r>
      <w:r>
        <w:t>Za p</w:t>
      </w:r>
      <w:r w:rsidRPr="00174A96">
        <w:t>reostal</w:t>
      </w:r>
      <w:r>
        <w:t>e neutrošene preuzete obveze</w:t>
      </w:r>
      <w:r w:rsidRPr="00174A96">
        <w:t xml:space="preserve"> potrebno izvještavati po godišnjoj realizaciji (isplati) u narednom razdoblju</w:t>
      </w:r>
    </w:p>
    <w:p w14:paraId="55F8796B" w14:textId="3A850224" w:rsidR="00986C2A" w:rsidRDefault="00986C2A">
      <w:pPr>
        <w:jc w:val="left"/>
      </w:pPr>
      <w:r>
        <w:br w:type="page"/>
      </w:r>
    </w:p>
    <w:p w14:paraId="6DED55CD" w14:textId="77777777" w:rsidR="00986C2A" w:rsidRDefault="00986C2A" w:rsidP="00986C2A">
      <w:pPr>
        <w:jc w:val="left"/>
        <w:rPr>
          <w:bCs/>
          <w:i/>
        </w:rPr>
      </w:pPr>
    </w:p>
    <w:p w14:paraId="32352D97" w14:textId="60CD9109" w:rsidR="00952BB6" w:rsidRPr="00831FF9" w:rsidRDefault="00952BB6" w:rsidP="00952BB6">
      <w:pPr>
        <w:spacing w:after="120" w:line="240" w:lineRule="auto"/>
        <w:rPr>
          <w:b/>
        </w:rPr>
      </w:pPr>
      <w:r w:rsidRPr="00831FF9">
        <w:rPr>
          <w:bCs/>
          <w:i/>
        </w:rPr>
        <w:t xml:space="preserve">Prilog </w:t>
      </w:r>
      <w:r w:rsidR="00DD5F65">
        <w:rPr>
          <w:bCs/>
          <w:i/>
        </w:rPr>
        <w:t>3</w:t>
      </w:r>
      <w:r w:rsidRPr="00831FF9">
        <w:rPr>
          <w:b/>
          <w:i/>
        </w:rPr>
        <w:t xml:space="preserve">. </w:t>
      </w:r>
      <w:r w:rsidRPr="00831FF9">
        <w:rPr>
          <w:b/>
        </w:rPr>
        <w:t xml:space="preserve">– Prikaz </w:t>
      </w:r>
      <w:r w:rsidR="00F61564">
        <w:rPr>
          <w:b/>
        </w:rPr>
        <w:t xml:space="preserve">raspodjele </w:t>
      </w:r>
      <w:r w:rsidRPr="00831FF9">
        <w:rPr>
          <w:b/>
        </w:rPr>
        <w:t>i ukupne realizacije sredstava za 202</w:t>
      </w:r>
      <w:r w:rsidR="00831FF9" w:rsidRPr="00831FF9">
        <w:rPr>
          <w:b/>
        </w:rPr>
        <w:t>3</w:t>
      </w:r>
      <w:r w:rsidRPr="00831FF9">
        <w:rPr>
          <w:b/>
        </w:rPr>
        <w:t>. i 202</w:t>
      </w:r>
      <w:r w:rsidR="00831FF9" w:rsidRPr="00831FF9">
        <w:rPr>
          <w:b/>
        </w:rPr>
        <w:t>4</w:t>
      </w:r>
      <w:r w:rsidRPr="00831FF9">
        <w:rPr>
          <w:b/>
        </w:rPr>
        <w:t>. godinu po mjerama sukladno Planu II</w:t>
      </w:r>
      <w:r w:rsidR="00A22713">
        <w:rPr>
          <w:b/>
        </w:rPr>
        <w:t>.</w:t>
      </w:r>
      <w:r w:rsidRPr="00831FF9">
        <w:rPr>
          <w:b/>
        </w:rPr>
        <w:t xml:space="preserve"> i Izmjen</w:t>
      </w:r>
      <w:r w:rsidR="00FA5B33">
        <w:rPr>
          <w:b/>
        </w:rPr>
        <w:t>ama</w:t>
      </w:r>
      <w:r w:rsidRPr="00831FF9">
        <w:rPr>
          <w:b/>
        </w:rPr>
        <w:t xml:space="preserve"> i dopun</w:t>
      </w:r>
      <w:r w:rsidR="00FA5B33">
        <w:rPr>
          <w:b/>
        </w:rPr>
        <w:t>ama</w:t>
      </w:r>
      <w:r w:rsidRPr="00831FF9">
        <w:rPr>
          <w:b/>
        </w:rPr>
        <w:t xml:space="preserve"> Plan</w:t>
      </w:r>
      <w:r w:rsidR="00A22713">
        <w:rPr>
          <w:b/>
        </w:rPr>
        <w:t>a</w:t>
      </w:r>
      <w:r w:rsidRPr="00831FF9">
        <w:rPr>
          <w:b/>
        </w:rPr>
        <w:t xml:space="preserve"> II</w:t>
      </w:r>
      <w:r w:rsidR="00A22713">
        <w:rPr>
          <w:b/>
        </w:rPr>
        <w:t>.</w:t>
      </w:r>
    </w:p>
    <w:tbl>
      <w:tblPr>
        <w:tblW w:w="20828" w:type="dxa"/>
        <w:jc w:val="center"/>
        <w:tblLayout w:type="fixed"/>
        <w:tblLook w:val="04A0" w:firstRow="1" w:lastRow="0" w:firstColumn="1" w:lastColumn="0" w:noHBand="0" w:noVBand="1"/>
      </w:tblPr>
      <w:tblGrid>
        <w:gridCol w:w="953"/>
        <w:gridCol w:w="1447"/>
        <w:gridCol w:w="709"/>
        <w:gridCol w:w="1701"/>
        <w:gridCol w:w="1984"/>
        <w:gridCol w:w="1134"/>
        <w:gridCol w:w="1843"/>
        <w:gridCol w:w="1985"/>
        <w:gridCol w:w="2268"/>
        <w:gridCol w:w="2268"/>
        <w:gridCol w:w="2126"/>
        <w:gridCol w:w="2410"/>
      </w:tblGrid>
      <w:tr w:rsidR="00EC2687" w:rsidRPr="009823F4" w14:paraId="2270A067" w14:textId="77777777" w:rsidTr="00AF22F4">
        <w:trPr>
          <w:trHeight w:val="2040"/>
          <w:jc w:val="center"/>
        </w:trPr>
        <w:tc>
          <w:tcPr>
            <w:tcW w:w="953" w:type="dxa"/>
            <w:tcBorders>
              <w:top w:val="single" w:sz="8" w:space="0" w:color="auto"/>
              <w:left w:val="single" w:sz="8" w:space="0" w:color="auto"/>
              <w:bottom w:val="nil"/>
              <w:right w:val="single" w:sz="8" w:space="0" w:color="auto"/>
            </w:tcBorders>
            <w:shd w:val="clear" w:color="000000" w:fill="C6D9F1"/>
            <w:vAlign w:val="center"/>
            <w:hideMark/>
          </w:tcPr>
          <w:p w14:paraId="3ABCBEDE" w14:textId="77777777" w:rsidR="00EC2687" w:rsidRPr="009823F4" w:rsidRDefault="00EC2687" w:rsidP="00D45A79">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Oznaka mjere</w:t>
            </w:r>
          </w:p>
        </w:tc>
        <w:tc>
          <w:tcPr>
            <w:tcW w:w="1447" w:type="dxa"/>
            <w:tcBorders>
              <w:top w:val="single" w:sz="8" w:space="0" w:color="auto"/>
              <w:left w:val="single" w:sz="8" w:space="0" w:color="auto"/>
              <w:bottom w:val="nil"/>
              <w:right w:val="single" w:sz="8" w:space="0" w:color="auto"/>
            </w:tcBorders>
            <w:shd w:val="clear" w:color="000000" w:fill="C6D9F1"/>
            <w:vAlign w:val="center"/>
            <w:hideMark/>
          </w:tcPr>
          <w:p w14:paraId="75F31221" w14:textId="77777777" w:rsidR="00EC2687" w:rsidRPr="009823F4" w:rsidRDefault="00EC2687" w:rsidP="00D45A79">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PODRUČJE</w:t>
            </w:r>
          </w:p>
        </w:tc>
        <w:tc>
          <w:tcPr>
            <w:tcW w:w="2410" w:type="dxa"/>
            <w:gridSpan w:val="2"/>
            <w:vMerge w:val="restart"/>
            <w:tcBorders>
              <w:top w:val="single" w:sz="8" w:space="0" w:color="auto"/>
              <w:left w:val="single" w:sz="8" w:space="0" w:color="auto"/>
              <w:bottom w:val="single" w:sz="8" w:space="0" w:color="000000"/>
              <w:right w:val="single" w:sz="8" w:space="0" w:color="000000"/>
            </w:tcBorders>
            <w:shd w:val="clear" w:color="000000" w:fill="C6D9F1"/>
            <w:vAlign w:val="center"/>
            <w:hideMark/>
          </w:tcPr>
          <w:p w14:paraId="090B60C5" w14:textId="77777777" w:rsidR="00EC2687" w:rsidRPr="009823F4" w:rsidRDefault="00EC2687" w:rsidP="00D45A79">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MJERE</w:t>
            </w:r>
          </w:p>
        </w:tc>
        <w:tc>
          <w:tcPr>
            <w:tcW w:w="1984" w:type="dxa"/>
            <w:tcBorders>
              <w:top w:val="single" w:sz="8" w:space="0" w:color="auto"/>
              <w:left w:val="single" w:sz="8" w:space="0" w:color="000000"/>
              <w:bottom w:val="nil"/>
              <w:right w:val="single" w:sz="8" w:space="0" w:color="auto"/>
            </w:tcBorders>
            <w:shd w:val="clear" w:color="000000" w:fill="C6D9F1"/>
            <w:vAlign w:val="center"/>
            <w:hideMark/>
          </w:tcPr>
          <w:p w14:paraId="148C24E2" w14:textId="77777777" w:rsidR="00EC2687" w:rsidRPr="009823F4" w:rsidRDefault="00EC2687" w:rsidP="00D45A79">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Ukupno kumulativno financiranje do 2025. godine</w:t>
            </w:r>
          </w:p>
        </w:tc>
        <w:tc>
          <w:tcPr>
            <w:tcW w:w="1134" w:type="dxa"/>
            <w:tcBorders>
              <w:top w:val="single" w:sz="8" w:space="0" w:color="auto"/>
              <w:left w:val="single" w:sz="8" w:space="0" w:color="auto"/>
              <w:bottom w:val="nil"/>
              <w:right w:val="single" w:sz="8" w:space="0" w:color="auto"/>
            </w:tcBorders>
            <w:shd w:val="clear" w:color="000000" w:fill="C6D9F1"/>
            <w:vAlign w:val="center"/>
            <w:hideMark/>
          </w:tcPr>
          <w:p w14:paraId="5F6FB83C" w14:textId="77777777" w:rsidR="00EC2687" w:rsidRPr="009823F4" w:rsidRDefault="00EC2687" w:rsidP="00D45A79">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Postotna raspodjela</w:t>
            </w:r>
          </w:p>
        </w:tc>
        <w:tc>
          <w:tcPr>
            <w:tcW w:w="1843" w:type="dxa"/>
            <w:tcBorders>
              <w:top w:val="single" w:sz="8" w:space="0" w:color="auto"/>
              <w:left w:val="single" w:sz="8" w:space="0" w:color="auto"/>
              <w:bottom w:val="nil"/>
              <w:right w:val="single" w:sz="8" w:space="0" w:color="auto"/>
            </w:tcBorders>
            <w:shd w:val="clear" w:color="000000" w:fill="C6D9F1"/>
            <w:vAlign w:val="center"/>
            <w:hideMark/>
          </w:tcPr>
          <w:p w14:paraId="5BFBB03C" w14:textId="77777777" w:rsidR="00EC2687" w:rsidRPr="009823F4" w:rsidRDefault="00EC2687" w:rsidP="00D45A79">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Ukupno kumulativno financiranje do 2025. godine</w:t>
            </w:r>
          </w:p>
        </w:tc>
        <w:tc>
          <w:tcPr>
            <w:tcW w:w="1985" w:type="dxa"/>
            <w:tcBorders>
              <w:top w:val="single" w:sz="8" w:space="0" w:color="auto"/>
              <w:left w:val="nil"/>
              <w:bottom w:val="nil"/>
              <w:right w:val="single" w:sz="8" w:space="0" w:color="auto"/>
            </w:tcBorders>
            <w:shd w:val="clear" w:color="000000" w:fill="C6D9F1"/>
            <w:vAlign w:val="center"/>
            <w:hideMark/>
          </w:tcPr>
          <w:p w14:paraId="61A4D0DA" w14:textId="77777777" w:rsidR="00EC2687" w:rsidRDefault="00EC2687" w:rsidP="00D45A79">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 xml:space="preserve">Realizacija </w:t>
            </w:r>
          </w:p>
          <w:p w14:paraId="0AED19FC" w14:textId="20AC69E0" w:rsidR="00EC2687" w:rsidRPr="009823F4" w:rsidRDefault="00EC2687" w:rsidP="00D45A79">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2021.</w:t>
            </w:r>
            <w:r>
              <w:rPr>
                <w:rFonts w:eastAsia="Times New Roman"/>
                <w:b/>
                <w:bCs/>
                <w:color w:val="000000"/>
                <w:sz w:val="20"/>
                <w:szCs w:val="20"/>
                <w:lang w:eastAsia="hr-HR"/>
              </w:rPr>
              <w:t xml:space="preserve"> </w:t>
            </w:r>
            <w:r w:rsidRPr="009823F4">
              <w:rPr>
                <w:rFonts w:eastAsia="Times New Roman"/>
                <w:b/>
                <w:bCs/>
                <w:color w:val="000000"/>
                <w:sz w:val="20"/>
                <w:szCs w:val="20"/>
                <w:lang w:eastAsia="hr-HR"/>
              </w:rPr>
              <w:t>-</w:t>
            </w:r>
            <w:r>
              <w:rPr>
                <w:rFonts w:eastAsia="Times New Roman"/>
                <w:b/>
                <w:bCs/>
                <w:color w:val="000000"/>
                <w:sz w:val="20"/>
                <w:szCs w:val="20"/>
                <w:lang w:eastAsia="hr-HR"/>
              </w:rPr>
              <w:t xml:space="preserve"> </w:t>
            </w:r>
            <w:r w:rsidRPr="009823F4">
              <w:rPr>
                <w:rFonts w:eastAsia="Times New Roman"/>
                <w:b/>
                <w:bCs/>
                <w:color w:val="000000"/>
                <w:sz w:val="20"/>
                <w:szCs w:val="20"/>
                <w:lang w:eastAsia="hr-HR"/>
              </w:rPr>
              <w:t>202</w:t>
            </w:r>
            <w:r w:rsidR="00BE5CC3">
              <w:rPr>
                <w:rFonts w:eastAsia="Times New Roman"/>
                <w:b/>
                <w:bCs/>
                <w:color w:val="000000"/>
                <w:sz w:val="20"/>
                <w:szCs w:val="20"/>
                <w:lang w:eastAsia="hr-HR"/>
              </w:rPr>
              <w:t>2</w:t>
            </w:r>
            <w:r w:rsidRPr="009823F4">
              <w:rPr>
                <w:rFonts w:eastAsia="Times New Roman"/>
                <w:b/>
                <w:bCs/>
                <w:color w:val="000000"/>
                <w:sz w:val="20"/>
                <w:szCs w:val="20"/>
                <w:lang w:eastAsia="hr-HR"/>
              </w:rPr>
              <w:t>.</w:t>
            </w:r>
            <w:r w:rsidRPr="009823F4">
              <w:rPr>
                <w:rFonts w:eastAsia="Times New Roman"/>
                <w:b/>
                <w:bCs/>
                <w:color w:val="000000"/>
                <w:sz w:val="20"/>
                <w:szCs w:val="20"/>
                <w:lang w:eastAsia="hr-HR"/>
              </w:rPr>
              <w:br/>
              <w:t xml:space="preserve"> (isplaćeno)</w:t>
            </w:r>
          </w:p>
        </w:tc>
        <w:tc>
          <w:tcPr>
            <w:tcW w:w="2268" w:type="dxa"/>
            <w:tcBorders>
              <w:top w:val="single" w:sz="8" w:space="0" w:color="auto"/>
              <w:left w:val="nil"/>
              <w:bottom w:val="nil"/>
              <w:right w:val="single" w:sz="4" w:space="0" w:color="auto"/>
            </w:tcBorders>
            <w:shd w:val="clear" w:color="000000" w:fill="C6D9F1"/>
          </w:tcPr>
          <w:p w14:paraId="50DD5201" w14:textId="77777777" w:rsidR="00EC2687" w:rsidRDefault="00EC2687" w:rsidP="00D45A79">
            <w:pPr>
              <w:spacing w:after="0" w:line="240" w:lineRule="auto"/>
              <w:jc w:val="center"/>
              <w:rPr>
                <w:rFonts w:eastAsia="Times New Roman"/>
                <w:b/>
                <w:bCs/>
                <w:color w:val="000000"/>
                <w:sz w:val="20"/>
                <w:szCs w:val="20"/>
                <w:lang w:eastAsia="hr-HR"/>
              </w:rPr>
            </w:pPr>
          </w:p>
          <w:p w14:paraId="6FA9ACB7" w14:textId="77777777" w:rsidR="00EC2687" w:rsidRDefault="00EC2687" w:rsidP="00D45A79">
            <w:pPr>
              <w:spacing w:after="0" w:line="240" w:lineRule="auto"/>
              <w:jc w:val="center"/>
              <w:rPr>
                <w:rFonts w:eastAsia="Times New Roman"/>
                <w:b/>
                <w:bCs/>
                <w:color w:val="000000"/>
                <w:sz w:val="20"/>
                <w:szCs w:val="20"/>
                <w:lang w:eastAsia="hr-HR"/>
              </w:rPr>
            </w:pPr>
          </w:p>
          <w:p w14:paraId="38440AAC" w14:textId="77777777" w:rsidR="00EC2687" w:rsidRDefault="00EC2687" w:rsidP="00D45A79">
            <w:pPr>
              <w:spacing w:after="0" w:line="240" w:lineRule="auto"/>
              <w:jc w:val="center"/>
              <w:rPr>
                <w:rFonts w:eastAsia="Times New Roman"/>
                <w:b/>
                <w:bCs/>
                <w:color w:val="000000"/>
                <w:sz w:val="20"/>
                <w:szCs w:val="20"/>
                <w:lang w:eastAsia="hr-HR"/>
              </w:rPr>
            </w:pPr>
          </w:p>
          <w:p w14:paraId="3D6545D2" w14:textId="3637ECD8" w:rsidR="00EC2687" w:rsidRPr="009823F4" w:rsidRDefault="00EC2687" w:rsidP="00D45A79">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Realizacija 202</w:t>
            </w:r>
            <w:r>
              <w:rPr>
                <w:rFonts w:eastAsia="Times New Roman"/>
                <w:b/>
                <w:bCs/>
                <w:color w:val="000000"/>
                <w:sz w:val="20"/>
                <w:szCs w:val="20"/>
                <w:lang w:eastAsia="hr-HR"/>
              </w:rPr>
              <w:t>3</w:t>
            </w:r>
            <w:r w:rsidRPr="009823F4">
              <w:rPr>
                <w:rFonts w:eastAsia="Times New Roman"/>
                <w:b/>
                <w:bCs/>
                <w:color w:val="000000"/>
                <w:sz w:val="20"/>
                <w:szCs w:val="20"/>
                <w:lang w:eastAsia="hr-HR"/>
              </w:rPr>
              <w:t xml:space="preserve">. </w:t>
            </w:r>
            <w:r w:rsidRPr="009823F4">
              <w:rPr>
                <w:rFonts w:eastAsia="Times New Roman"/>
                <w:b/>
                <w:bCs/>
                <w:color w:val="000000"/>
                <w:sz w:val="20"/>
                <w:szCs w:val="20"/>
                <w:lang w:eastAsia="hr-HR"/>
              </w:rPr>
              <w:br/>
              <w:t>(isplaćeno</w:t>
            </w:r>
            <w:r>
              <w:rPr>
                <w:rFonts w:eastAsia="Times New Roman"/>
                <w:b/>
                <w:bCs/>
                <w:color w:val="000000"/>
                <w:sz w:val="20"/>
                <w:szCs w:val="20"/>
                <w:lang w:eastAsia="hr-HR"/>
              </w:rPr>
              <w:t>)</w:t>
            </w:r>
          </w:p>
        </w:tc>
        <w:tc>
          <w:tcPr>
            <w:tcW w:w="2268" w:type="dxa"/>
            <w:tcBorders>
              <w:top w:val="single" w:sz="8" w:space="0" w:color="auto"/>
              <w:left w:val="single" w:sz="4" w:space="0" w:color="auto"/>
              <w:bottom w:val="nil"/>
              <w:right w:val="single" w:sz="8" w:space="0" w:color="auto"/>
            </w:tcBorders>
            <w:shd w:val="clear" w:color="000000" w:fill="C6D9F1"/>
            <w:vAlign w:val="center"/>
            <w:hideMark/>
          </w:tcPr>
          <w:p w14:paraId="450A8368" w14:textId="16EDD732" w:rsidR="00EC2687" w:rsidRPr="009823F4" w:rsidRDefault="00EC2687" w:rsidP="00D45A79">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 xml:space="preserve">Realizacija 2024. </w:t>
            </w:r>
            <w:r w:rsidRPr="009823F4">
              <w:rPr>
                <w:rFonts w:eastAsia="Times New Roman"/>
                <w:b/>
                <w:bCs/>
                <w:color w:val="000000"/>
                <w:sz w:val="20"/>
                <w:szCs w:val="20"/>
                <w:lang w:eastAsia="hr-HR"/>
              </w:rPr>
              <w:br/>
              <w:t>(isplaćeno)</w:t>
            </w:r>
          </w:p>
        </w:tc>
        <w:tc>
          <w:tcPr>
            <w:tcW w:w="2126" w:type="dxa"/>
            <w:tcBorders>
              <w:top w:val="single" w:sz="8" w:space="0" w:color="auto"/>
              <w:left w:val="single" w:sz="8" w:space="0" w:color="auto"/>
              <w:bottom w:val="nil"/>
              <w:right w:val="single" w:sz="8" w:space="0" w:color="auto"/>
            </w:tcBorders>
            <w:shd w:val="clear" w:color="000000" w:fill="C6D9F1"/>
            <w:vAlign w:val="center"/>
            <w:hideMark/>
          </w:tcPr>
          <w:p w14:paraId="3F6002B9" w14:textId="77777777" w:rsidR="00EC2687" w:rsidRPr="009823F4" w:rsidRDefault="00EC2687" w:rsidP="00D45A79">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Realizacija 2021.-2024.</w:t>
            </w:r>
            <w:r w:rsidRPr="009823F4">
              <w:rPr>
                <w:rFonts w:eastAsia="Times New Roman"/>
                <w:b/>
                <w:bCs/>
                <w:color w:val="000000"/>
                <w:sz w:val="20"/>
                <w:szCs w:val="20"/>
                <w:lang w:eastAsia="hr-HR"/>
              </w:rPr>
              <w:br/>
              <w:t xml:space="preserve"> (isplaćeno)</w:t>
            </w:r>
          </w:p>
        </w:tc>
        <w:tc>
          <w:tcPr>
            <w:tcW w:w="2410" w:type="dxa"/>
            <w:tcBorders>
              <w:top w:val="single" w:sz="8" w:space="0" w:color="auto"/>
              <w:left w:val="single" w:sz="8" w:space="0" w:color="auto"/>
              <w:bottom w:val="nil"/>
              <w:right w:val="single" w:sz="8" w:space="0" w:color="auto"/>
            </w:tcBorders>
            <w:shd w:val="clear" w:color="000000" w:fill="C6D9F1"/>
            <w:vAlign w:val="center"/>
            <w:hideMark/>
          </w:tcPr>
          <w:p w14:paraId="61555A28" w14:textId="77777777" w:rsidR="00EC2687" w:rsidRPr="009823F4" w:rsidRDefault="00EC2687" w:rsidP="00D45A79">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Preostali dio do ukupnog iznosa Plana (dio su preuzete obveze još neisplaćeno, a dio je slobodan za novo ugovaranje)</w:t>
            </w:r>
          </w:p>
        </w:tc>
      </w:tr>
      <w:tr w:rsidR="00EC2687" w:rsidRPr="009823F4" w14:paraId="05534BA9" w14:textId="77777777" w:rsidTr="00AF22F4">
        <w:trPr>
          <w:trHeight w:val="330"/>
          <w:jc w:val="center"/>
        </w:trPr>
        <w:tc>
          <w:tcPr>
            <w:tcW w:w="953" w:type="dxa"/>
            <w:tcBorders>
              <w:top w:val="nil"/>
              <w:left w:val="single" w:sz="8" w:space="0" w:color="auto"/>
              <w:bottom w:val="single" w:sz="8" w:space="0" w:color="000000"/>
              <w:right w:val="single" w:sz="8" w:space="0" w:color="auto"/>
            </w:tcBorders>
            <w:shd w:val="clear" w:color="000000" w:fill="C6D9F1"/>
            <w:vAlign w:val="center"/>
            <w:hideMark/>
          </w:tcPr>
          <w:p w14:paraId="55C64A29" w14:textId="77777777" w:rsidR="00EC2687" w:rsidRPr="009823F4" w:rsidRDefault="00EC2687" w:rsidP="00D45A79">
            <w:pPr>
              <w:spacing w:after="0" w:line="240" w:lineRule="auto"/>
              <w:jc w:val="center"/>
              <w:rPr>
                <w:rFonts w:eastAsia="Times New Roman"/>
                <w:b/>
                <w:bCs/>
                <w:color w:val="000000"/>
                <w:lang w:eastAsia="hr-HR"/>
              </w:rPr>
            </w:pPr>
            <w:r w:rsidRPr="009823F4">
              <w:rPr>
                <w:rFonts w:eastAsia="Times New Roman"/>
                <w:b/>
                <w:bCs/>
                <w:color w:val="000000"/>
                <w:lang w:eastAsia="hr-HR"/>
              </w:rPr>
              <w:t> </w:t>
            </w:r>
          </w:p>
        </w:tc>
        <w:tc>
          <w:tcPr>
            <w:tcW w:w="1447" w:type="dxa"/>
            <w:tcBorders>
              <w:top w:val="nil"/>
              <w:left w:val="nil"/>
              <w:bottom w:val="single" w:sz="8" w:space="0" w:color="000000"/>
              <w:right w:val="single" w:sz="8" w:space="0" w:color="auto"/>
            </w:tcBorders>
            <w:shd w:val="clear" w:color="000000" w:fill="C6D9F1"/>
            <w:vAlign w:val="center"/>
            <w:hideMark/>
          </w:tcPr>
          <w:p w14:paraId="3317F052" w14:textId="77777777" w:rsidR="00EC2687" w:rsidRPr="009823F4" w:rsidRDefault="00EC2687" w:rsidP="00D45A79">
            <w:pPr>
              <w:spacing w:after="0" w:line="240" w:lineRule="auto"/>
              <w:jc w:val="center"/>
              <w:rPr>
                <w:rFonts w:eastAsia="Times New Roman"/>
                <w:b/>
                <w:bCs/>
                <w:color w:val="000000"/>
                <w:lang w:eastAsia="hr-HR"/>
              </w:rPr>
            </w:pPr>
            <w:r w:rsidRPr="009823F4">
              <w:rPr>
                <w:rFonts w:eastAsia="Times New Roman"/>
                <w:b/>
                <w:bCs/>
                <w:color w:val="000000"/>
                <w:lang w:eastAsia="hr-HR"/>
              </w:rPr>
              <w:t> </w:t>
            </w:r>
          </w:p>
        </w:tc>
        <w:tc>
          <w:tcPr>
            <w:tcW w:w="2410" w:type="dxa"/>
            <w:gridSpan w:val="2"/>
            <w:vMerge/>
            <w:tcBorders>
              <w:top w:val="nil"/>
              <w:left w:val="nil"/>
              <w:bottom w:val="single" w:sz="8" w:space="0" w:color="000000"/>
              <w:right w:val="single" w:sz="8" w:space="0" w:color="auto"/>
            </w:tcBorders>
            <w:vAlign w:val="center"/>
            <w:hideMark/>
          </w:tcPr>
          <w:p w14:paraId="386B4312" w14:textId="77777777" w:rsidR="00EC2687" w:rsidRPr="009823F4" w:rsidRDefault="00EC2687" w:rsidP="00D45A79">
            <w:pPr>
              <w:spacing w:after="0" w:line="240" w:lineRule="auto"/>
              <w:jc w:val="left"/>
              <w:rPr>
                <w:rFonts w:eastAsia="Times New Roman"/>
                <w:b/>
                <w:bCs/>
                <w:color w:val="000000"/>
                <w:sz w:val="20"/>
                <w:szCs w:val="20"/>
                <w:lang w:eastAsia="hr-HR"/>
              </w:rPr>
            </w:pPr>
          </w:p>
        </w:tc>
        <w:tc>
          <w:tcPr>
            <w:tcW w:w="1984" w:type="dxa"/>
            <w:tcBorders>
              <w:top w:val="nil"/>
              <w:left w:val="nil"/>
              <w:bottom w:val="single" w:sz="8" w:space="0" w:color="000000"/>
              <w:right w:val="single" w:sz="8" w:space="0" w:color="auto"/>
            </w:tcBorders>
            <w:shd w:val="clear" w:color="000000" w:fill="C6D9F1"/>
            <w:vAlign w:val="center"/>
            <w:hideMark/>
          </w:tcPr>
          <w:p w14:paraId="05F8D5BF" w14:textId="77777777" w:rsidR="00EC2687" w:rsidRPr="009823F4" w:rsidRDefault="00EC2687" w:rsidP="00D45A79">
            <w:pPr>
              <w:spacing w:after="0" w:line="240" w:lineRule="auto"/>
              <w:jc w:val="center"/>
              <w:rPr>
                <w:rFonts w:eastAsia="Times New Roman"/>
                <w:b/>
                <w:bCs/>
                <w:color w:val="000000"/>
                <w:lang w:eastAsia="hr-HR"/>
              </w:rPr>
            </w:pPr>
            <w:r w:rsidRPr="009823F4">
              <w:rPr>
                <w:rFonts w:eastAsia="Times New Roman"/>
                <w:b/>
                <w:bCs/>
                <w:color w:val="000000"/>
                <w:lang w:eastAsia="hr-HR"/>
              </w:rPr>
              <w:t>[EUR]</w:t>
            </w:r>
          </w:p>
        </w:tc>
        <w:tc>
          <w:tcPr>
            <w:tcW w:w="1134" w:type="dxa"/>
            <w:tcBorders>
              <w:top w:val="nil"/>
              <w:left w:val="nil"/>
              <w:bottom w:val="single" w:sz="8" w:space="0" w:color="000000"/>
              <w:right w:val="single" w:sz="8" w:space="0" w:color="auto"/>
            </w:tcBorders>
            <w:shd w:val="clear" w:color="000000" w:fill="C6D9F1"/>
            <w:vAlign w:val="center"/>
            <w:hideMark/>
          </w:tcPr>
          <w:p w14:paraId="362CA973" w14:textId="77777777" w:rsidR="00EC2687" w:rsidRPr="009823F4" w:rsidRDefault="00EC2687" w:rsidP="00D45A79">
            <w:pPr>
              <w:spacing w:after="0" w:line="240" w:lineRule="auto"/>
              <w:jc w:val="center"/>
              <w:rPr>
                <w:rFonts w:eastAsia="Times New Roman"/>
                <w:b/>
                <w:bCs/>
                <w:color w:val="000000"/>
                <w:lang w:eastAsia="hr-HR"/>
              </w:rPr>
            </w:pPr>
            <w:r w:rsidRPr="009823F4">
              <w:rPr>
                <w:rFonts w:eastAsia="Times New Roman"/>
                <w:b/>
                <w:bCs/>
                <w:color w:val="000000"/>
                <w:lang w:eastAsia="hr-HR"/>
              </w:rPr>
              <w:t>[%]</w:t>
            </w:r>
          </w:p>
        </w:tc>
        <w:tc>
          <w:tcPr>
            <w:tcW w:w="1843" w:type="dxa"/>
            <w:tcBorders>
              <w:top w:val="nil"/>
              <w:left w:val="nil"/>
              <w:bottom w:val="single" w:sz="8" w:space="0" w:color="000000"/>
              <w:right w:val="single" w:sz="8" w:space="0" w:color="auto"/>
            </w:tcBorders>
            <w:shd w:val="clear" w:color="000000" w:fill="C6D9F1"/>
            <w:vAlign w:val="center"/>
            <w:hideMark/>
          </w:tcPr>
          <w:p w14:paraId="6A6D68EE" w14:textId="77777777" w:rsidR="00EC2687" w:rsidRPr="009823F4" w:rsidRDefault="00EC2687" w:rsidP="00D45A79">
            <w:pPr>
              <w:spacing w:after="0" w:line="240" w:lineRule="auto"/>
              <w:jc w:val="center"/>
              <w:rPr>
                <w:rFonts w:eastAsia="Times New Roman"/>
                <w:b/>
                <w:bCs/>
                <w:color w:val="000000"/>
                <w:lang w:eastAsia="hr-HR"/>
              </w:rPr>
            </w:pPr>
            <w:r w:rsidRPr="009823F4">
              <w:rPr>
                <w:rFonts w:eastAsia="Times New Roman"/>
                <w:b/>
                <w:bCs/>
                <w:color w:val="000000"/>
                <w:lang w:eastAsia="hr-HR"/>
              </w:rPr>
              <w:t>[EUR]</w:t>
            </w:r>
          </w:p>
        </w:tc>
        <w:tc>
          <w:tcPr>
            <w:tcW w:w="1985" w:type="dxa"/>
            <w:tcBorders>
              <w:top w:val="nil"/>
              <w:left w:val="nil"/>
              <w:bottom w:val="single" w:sz="8" w:space="0" w:color="000000"/>
              <w:right w:val="single" w:sz="8" w:space="0" w:color="auto"/>
            </w:tcBorders>
            <w:shd w:val="clear" w:color="000000" w:fill="C6D9F1"/>
            <w:vAlign w:val="center"/>
            <w:hideMark/>
          </w:tcPr>
          <w:p w14:paraId="025F6F98" w14:textId="77777777" w:rsidR="00EC2687" w:rsidRPr="009823F4" w:rsidRDefault="00EC2687" w:rsidP="00D45A79">
            <w:pPr>
              <w:spacing w:after="0" w:line="240" w:lineRule="auto"/>
              <w:jc w:val="center"/>
              <w:rPr>
                <w:rFonts w:eastAsia="Times New Roman"/>
                <w:b/>
                <w:bCs/>
                <w:color w:val="000000"/>
                <w:lang w:eastAsia="hr-HR"/>
              </w:rPr>
            </w:pPr>
            <w:r w:rsidRPr="009823F4">
              <w:rPr>
                <w:rFonts w:eastAsia="Times New Roman"/>
                <w:b/>
                <w:bCs/>
                <w:color w:val="000000"/>
                <w:lang w:eastAsia="hr-HR"/>
              </w:rPr>
              <w:t>[EUR]</w:t>
            </w:r>
          </w:p>
        </w:tc>
        <w:tc>
          <w:tcPr>
            <w:tcW w:w="2268" w:type="dxa"/>
            <w:tcBorders>
              <w:top w:val="nil"/>
              <w:left w:val="nil"/>
              <w:bottom w:val="single" w:sz="8" w:space="0" w:color="000000"/>
              <w:right w:val="single" w:sz="4" w:space="0" w:color="auto"/>
            </w:tcBorders>
            <w:shd w:val="clear" w:color="000000" w:fill="C6D9F1"/>
          </w:tcPr>
          <w:p w14:paraId="03472998" w14:textId="058C54C6" w:rsidR="00EC2687" w:rsidRPr="009823F4" w:rsidRDefault="00BE5CC3" w:rsidP="00D45A79">
            <w:pPr>
              <w:spacing w:after="0" w:line="240" w:lineRule="auto"/>
              <w:jc w:val="center"/>
              <w:rPr>
                <w:rFonts w:eastAsia="Times New Roman"/>
                <w:b/>
                <w:bCs/>
                <w:color w:val="000000"/>
                <w:lang w:eastAsia="hr-HR"/>
              </w:rPr>
            </w:pPr>
            <w:r w:rsidRPr="009823F4">
              <w:rPr>
                <w:rFonts w:eastAsia="Times New Roman"/>
                <w:b/>
                <w:bCs/>
                <w:color w:val="000000"/>
                <w:lang w:eastAsia="hr-HR"/>
              </w:rPr>
              <w:t>[EUR]</w:t>
            </w:r>
          </w:p>
        </w:tc>
        <w:tc>
          <w:tcPr>
            <w:tcW w:w="2268" w:type="dxa"/>
            <w:tcBorders>
              <w:top w:val="nil"/>
              <w:left w:val="single" w:sz="4" w:space="0" w:color="auto"/>
              <w:bottom w:val="single" w:sz="8" w:space="0" w:color="000000"/>
              <w:right w:val="single" w:sz="8" w:space="0" w:color="auto"/>
            </w:tcBorders>
            <w:shd w:val="clear" w:color="000000" w:fill="C6D9F1"/>
            <w:vAlign w:val="center"/>
            <w:hideMark/>
          </w:tcPr>
          <w:p w14:paraId="2248DABC" w14:textId="71346D04" w:rsidR="00EC2687" w:rsidRPr="009823F4" w:rsidRDefault="00EC2687" w:rsidP="00D45A79">
            <w:pPr>
              <w:spacing w:after="0" w:line="240" w:lineRule="auto"/>
              <w:jc w:val="center"/>
              <w:rPr>
                <w:rFonts w:eastAsia="Times New Roman"/>
                <w:b/>
                <w:bCs/>
                <w:color w:val="000000"/>
                <w:lang w:eastAsia="hr-HR"/>
              </w:rPr>
            </w:pPr>
            <w:r w:rsidRPr="009823F4">
              <w:rPr>
                <w:rFonts w:eastAsia="Times New Roman"/>
                <w:b/>
                <w:bCs/>
                <w:color w:val="000000"/>
                <w:lang w:eastAsia="hr-HR"/>
              </w:rPr>
              <w:t>[EUR]</w:t>
            </w:r>
          </w:p>
        </w:tc>
        <w:tc>
          <w:tcPr>
            <w:tcW w:w="2126" w:type="dxa"/>
            <w:tcBorders>
              <w:top w:val="nil"/>
              <w:left w:val="nil"/>
              <w:bottom w:val="single" w:sz="8" w:space="0" w:color="000000"/>
              <w:right w:val="single" w:sz="8" w:space="0" w:color="auto"/>
            </w:tcBorders>
            <w:shd w:val="clear" w:color="000000" w:fill="C6D9F1"/>
            <w:vAlign w:val="center"/>
            <w:hideMark/>
          </w:tcPr>
          <w:p w14:paraId="5FFC20D5" w14:textId="77777777" w:rsidR="00EC2687" w:rsidRPr="009823F4" w:rsidRDefault="00EC2687" w:rsidP="00D45A79">
            <w:pPr>
              <w:spacing w:after="0" w:line="240" w:lineRule="auto"/>
              <w:jc w:val="center"/>
              <w:rPr>
                <w:rFonts w:eastAsia="Times New Roman"/>
                <w:b/>
                <w:bCs/>
                <w:color w:val="000000"/>
                <w:lang w:eastAsia="hr-HR"/>
              </w:rPr>
            </w:pPr>
            <w:r w:rsidRPr="009823F4">
              <w:rPr>
                <w:rFonts w:eastAsia="Times New Roman"/>
                <w:b/>
                <w:bCs/>
                <w:color w:val="000000"/>
                <w:lang w:eastAsia="hr-HR"/>
              </w:rPr>
              <w:t>[EUR]</w:t>
            </w:r>
          </w:p>
        </w:tc>
        <w:tc>
          <w:tcPr>
            <w:tcW w:w="2410" w:type="dxa"/>
            <w:tcBorders>
              <w:top w:val="nil"/>
              <w:left w:val="nil"/>
              <w:bottom w:val="nil"/>
              <w:right w:val="single" w:sz="8" w:space="0" w:color="auto"/>
            </w:tcBorders>
            <w:shd w:val="clear" w:color="000000" w:fill="C6D9F1"/>
            <w:vAlign w:val="center"/>
            <w:hideMark/>
          </w:tcPr>
          <w:p w14:paraId="6684879C" w14:textId="77777777" w:rsidR="00EC2687" w:rsidRPr="009823F4" w:rsidRDefault="00EC2687" w:rsidP="00D45A79">
            <w:pPr>
              <w:spacing w:after="0" w:line="240" w:lineRule="auto"/>
              <w:jc w:val="center"/>
              <w:rPr>
                <w:rFonts w:eastAsia="Times New Roman"/>
                <w:b/>
                <w:bCs/>
                <w:color w:val="000000"/>
                <w:lang w:eastAsia="hr-HR"/>
              </w:rPr>
            </w:pPr>
            <w:r w:rsidRPr="009823F4">
              <w:rPr>
                <w:rFonts w:eastAsia="Times New Roman"/>
                <w:b/>
                <w:bCs/>
                <w:color w:val="000000"/>
                <w:lang w:eastAsia="hr-HR"/>
              </w:rPr>
              <w:t>[EUR]</w:t>
            </w:r>
          </w:p>
        </w:tc>
      </w:tr>
      <w:tr w:rsidR="00EC2687" w:rsidRPr="009823F4" w14:paraId="7F77B474" w14:textId="77777777" w:rsidTr="00AF22F4">
        <w:trPr>
          <w:trHeight w:val="270"/>
          <w:jc w:val="center"/>
        </w:trPr>
        <w:tc>
          <w:tcPr>
            <w:tcW w:w="953" w:type="dxa"/>
            <w:tcBorders>
              <w:top w:val="nil"/>
              <w:left w:val="single" w:sz="8" w:space="0" w:color="auto"/>
              <w:bottom w:val="single" w:sz="8" w:space="0" w:color="000000"/>
              <w:right w:val="single" w:sz="8" w:space="0" w:color="auto"/>
            </w:tcBorders>
            <w:shd w:val="clear" w:color="000000" w:fill="C6D9F1"/>
            <w:vAlign w:val="center"/>
            <w:hideMark/>
          </w:tcPr>
          <w:p w14:paraId="678A39A8" w14:textId="77777777" w:rsidR="00EC2687" w:rsidRPr="009823F4" w:rsidRDefault="00EC2687" w:rsidP="00D45A79">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1</w:t>
            </w:r>
          </w:p>
        </w:tc>
        <w:tc>
          <w:tcPr>
            <w:tcW w:w="1447" w:type="dxa"/>
            <w:tcBorders>
              <w:top w:val="nil"/>
              <w:left w:val="nil"/>
              <w:bottom w:val="single" w:sz="8" w:space="0" w:color="000000"/>
              <w:right w:val="single" w:sz="8" w:space="0" w:color="auto"/>
            </w:tcBorders>
            <w:shd w:val="clear" w:color="000000" w:fill="C6D9F1"/>
            <w:vAlign w:val="center"/>
            <w:hideMark/>
          </w:tcPr>
          <w:p w14:paraId="3CD2C2C4" w14:textId="77777777" w:rsidR="00EC2687" w:rsidRPr="009823F4" w:rsidRDefault="00EC2687" w:rsidP="00D45A79">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2</w:t>
            </w:r>
          </w:p>
        </w:tc>
        <w:tc>
          <w:tcPr>
            <w:tcW w:w="2410" w:type="dxa"/>
            <w:gridSpan w:val="2"/>
            <w:tcBorders>
              <w:top w:val="single" w:sz="8" w:space="0" w:color="000000"/>
              <w:left w:val="nil"/>
              <w:bottom w:val="single" w:sz="8" w:space="0" w:color="000000"/>
              <w:right w:val="single" w:sz="8" w:space="0" w:color="000000"/>
            </w:tcBorders>
            <w:shd w:val="clear" w:color="000000" w:fill="C6D9F1"/>
            <w:vAlign w:val="center"/>
            <w:hideMark/>
          </w:tcPr>
          <w:p w14:paraId="7C869FC8" w14:textId="77777777" w:rsidR="00EC2687" w:rsidRPr="009823F4" w:rsidRDefault="00EC2687" w:rsidP="00D45A79">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3</w:t>
            </w:r>
          </w:p>
        </w:tc>
        <w:tc>
          <w:tcPr>
            <w:tcW w:w="1984" w:type="dxa"/>
            <w:tcBorders>
              <w:top w:val="nil"/>
              <w:left w:val="nil"/>
              <w:bottom w:val="single" w:sz="8" w:space="0" w:color="000000"/>
              <w:right w:val="single" w:sz="8" w:space="0" w:color="auto"/>
            </w:tcBorders>
            <w:shd w:val="clear" w:color="000000" w:fill="C6D9F1"/>
            <w:vAlign w:val="center"/>
            <w:hideMark/>
          </w:tcPr>
          <w:p w14:paraId="53ACBFE7" w14:textId="77777777" w:rsidR="00EC2687" w:rsidRPr="009823F4" w:rsidRDefault="00EC2687" w:rsidP="00D45A79">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4</w:t>
            </w:r>
          </w:p>
        </w:tc>
        <w:tc>
          <w:tcPr>
            <w:tcW w:w="1134" w:type="dxa"/>
            <w:tcBorders>
              <w:top w:val="nil"/>
              <w:left w:val="nil"/>
              <w:bottom w:val="single" w:sz="8" w:space="0" w:color="000000"/>
              <w:right w:val="single" w:sz="8" w:space="0" w:color="auto"/>
            </w:tcBorders>
            <w:shd w:val="clear" w:color="000000" w:fill="C6D9F1"/>
            <w:vAlign w:val="center"/>
            <w:hideMark/>
          </w:tcPr>
          <w:p w14:paraId="254AF1B0" w14:textId="77777777" w:rsidR="00EC2687" w:rsidRPr="009823F4" w:rsidRDefault="00EC2687" w:rsidP="00D45A79">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5</w:t>
            </w:r>
          </w:p>
        </w:tc>
        <w:tc>
          <w:tcPr>
            <w:tcW w:w="1843" w:type="dxa"/>
            <w:tcBorders>
              <w:top w:val="nil"/>
              <w:left w:val="nil"/>
              <w:bottom w:val="single" w:sz="8" w:space="0" w:color="000000"/>
              <w:right w:val="single" w:sz="8" w:space="0" w:color="auto"/>
            </w:tcBorders>
            <w:shd w:val="clear" w:color="000000" w:fill="C6D9F1"/>
            <w:vAlign w:val="center"/>
            <w:hideMark/>
          </w:tcPr>
          <w:p w14:paraId="4726AE93" w14:textId="77777777" w:rsidR="00EC2687" w:rsidRPr="009823F4" w:rsidRDefault="00EC2687" w:rsidP="00D45A79">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6</w:t>
            </w:r>
          </w:p>
        </w:tc>
        <w:tc>
          <w:tcPr>
            <w:tcW w:w="1985" w:type="dxa"/>
            <w:tcBorders>
              <w:top w:val="nil"/>
              <w:left w:val="single" w:sz="8" w:space="0" w:color="auto"/>
              <w:bottom w:val="single" w:sz="8" w:space="0" w:color="auto"/>
              <w:right w:val="single" w:sz="8" w:space="0" w:color="auto"/>
            </w:tcBorders>
            <w:shd w:val="clear" w:color="000000" w:fill="C6D9F1"/>
            <w:vAlign w:val="center"/>
            <w:hideMark/>
          </w:tcPr>
          <w:p w14:paraId="32041BBD" w14:textId="77777777" w:rsidR="00EC2687" w:rsidRPr="009823F4" w:rsidRDefault="00EC2687" w:rsidP="00D45A79">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7</w:t>
            </w:r>
          </w:p>
        </w:tc>
        <w:tc>
          <w:tcPr>
            <w:tcW w:w="2268" w:type="dxa"/>
            <w:tcBorders>
              <w:top w:val="nil"/>
              <w:left w:val="nil"/>
              <w:bottom w:val="single" w:sz="8" w:space="0" w:color="auto"/>
              <w:right w:val="single" w:sz="4" w:space="0" w:color="auto"/>
            </w:tcBorders>
            <w:shd w:val="clear" w:color="000000" w:fill="C6D9F1"/>
          </w:tcPr>
          <w:p w14:paraId="6D370DC0" w14:textId="739CF5FC" w:rsidR="00EC2687" w:rsidRPr="009823F4" w:rsidRDefault="00BE5CC3" w:rsidP="00D45A79">
            <w:pPr>
              <w:spacing w:after="0" w:line="240" w:lineRule="auto"/>
              <w:jc w:val="center"/>
              <w:rPr>
                <w:rFonts w:eastAsia="Times New Roman"/>
                <w:b/>
                <w:bCs/>
                <w:color w:val="000000"/>
                <w:sz w:val="20"/>
                <w:szCs w:val="20"/>
                <w:lang w:eastAsia="hr-HR"/>
              </w:rPr>
            </w:pPr>
            <w:r>
              <w:rPr>
                <w:rFonts w:eastAsia="Times New Roman"/>
                <w:b/>
                <w:bCs/>
                <w:color w:val="000000"/>
                <w:sz w:val="20"/>
                <w:szCs w:val="20"/>
                <w:lang w:eastAsia="hr-HR"/>
              </w:rPr>
              <w:t>8</w:t>
            </w:r>
          </w:p>
        </w:tc>
        <w:tc>
          <w:tcPr>
            <w:tcW w:w="2268" w:type="dxa"/>
            <w:tcBorders>
              <w:top w:val="nil"/>
              <w:left w:val="single" w:sz="4" w:space="0" w:color="auto"/>
              <w:bottom w:val="single" w:sz="8" w:space="0" w:color="auto"/>
              <w:right w:val="single" w:sz="8" w:space="0" w:color="auto"/>
            </w:tcBorders>
            <w:shd w:val="clear" w:color="000000" w:fill="C6D9F1"/>
            <w:vAlign w:val="center"/>
            <w:hideMark/>
          </w:tcPr>
          <w:p w14:paraId="62A8EF6F" w14:textId="76B57690" w:rsidR="00EC2687" w:rsidRPr="009823F4" w:rsidRDefault="00BE5CC3" w:rsidP="00D45A79">
            <w:pPr>
              <w:spacing w:after="0" w:line="240" w:lineRule="auto"/>
              <w:jc w:val="center"/>
              <w:rPr>
                <w:rFonts w:eastAsia="Times New Roman"/>
                <w:b/>
                <w:bCs/>
                <w:color w:val="000000"/>
                <w:sz w:val="20"/>
                <w:szCs w:val="20"/>
                <w:lang w:eastAsia="hr-HR"/>
              </w:rPr>
            </w:pPr>
            <w:r>
              <w:rPr>
                <w:rFonts w:eastAsia="Times New Roman"/>
                <w:b/>
                <w:bCs/>
                <w:color w:val="000000"/>
                <w:sz w:val="20"/>
                <w:szCs w:val="20"/>
                <w:lang w:eastAsia="hr-HR"/>
              </w:rPr>
              <w:t>9</w:t>
            </w:r>
          </w:p>
        </w:tc>
        <w:tc>
          <w:tcPr>
            <w:tcW w:w="2126" w:type="dxa"/>
            <w:tcBorders>
              <w:top w:val="nil"/>
              <w:left w:val="nil"/>
              <w:bottom w:val="nil"/>
              <w:right w:val="single" w:sz="8" w:space="0" w:color="auto"/>
            </w:tcBorders>
            <w:shd w:val="clear" w:color="000000" w:fill="C6D9F1"/>
            <w:vAlign w:val="center"/>
            <w:hideMark/>
          </w:tcPr>
          <w:p w14:paraId="05F663FF" w14:textId="6A909815" w:rsidR="00EC2687" w:rsidRPr="009823F4" w:rsidRDefault="00BE5CC3" w:rsidP="00D45A79">
            <w:pPr>
              <w:spacing w:after="0" w:line="240" w:lineRule="auto"/>
              <w:jc w:val="center"/>
              <w:rPr>
                <w:rFonts w:eastAsia="Times New Roman"/>
                <w:b/>
                <w:bCs/>
                <w:color w:val="000000"/>
                <w:sz w:val="20"/>
                <w:szCs w:val="20"/>
                <w:lang w:eastAsia="hr-HR"/>
              </w:rPr>
            </w:pPr>
            <w:r>
              <w:rPr>
                <w:rFonts w:eastAsia="Times New Roman"/>
                <w:b/>
                <w:bCs/>
                <w:color w:val="000000"/>
                <w:sz w:val="20"/>
                <w:szCs w:val="20"/>
                <w:lang w:eastAsia="hr-HR"/>
              </w:rPr>
              <w:t>10</w:t>
            </w:r>
            <w:r w:rsidR="00EC2687" w:rsidRPr="009823F4">
              <w:rPr>
                <w:rFonts w:eastAsia="Times New Roman"/>
                <w:b/>
                <w:bCs/>
                <w:color w:val="000000"/>
                <w:sz w:val="20"/>
                <w:szCs w:val="20"/>
                <w:lang w:eastAsia="hr-HR"/>
              </w:rPr>
              <w:t>=7+8</w:t>
            </w:r>
            <w:r>
              <w:rPr>
                <w:rFonts w:eastAsia="Times New Roman"/>
                <w:b/>
                <w:bCs/>
                <w:color w:val="000000"/>
                <w:sz w:val="20"/>
                <w:szCs w:val="20"/>
                <w:lang w:eastAsia="hr-HR"/>
              </w:rPr>
              <w:t>+9</w:t>
            </w:r>
          </w:p>
        </w:tc>
        <w:tc>
          <w:tcPr>
            <w:tcW w:w="2410" w:type="dxa"/>
            <w:tcBorders>
              <w:top w:val="single" w:sz="8" w:space="0" w:color="auto"/>
              <w:left w:val="nil"/>
              <w:bottom w:val="single" w:sz="8" w:space="0" w:color="auto"/>
              <w:right w:val="single" w:sz="8" w:space="0" w:color="auto"/>
            </w:tcBorders>
            <w:shd w:val="clear" w:color="000000" w:fill="C6D9F1"/>
            <w:vAlign w:val="center"/>
            <w:hideMark/>
          </w:tcPr>
          <w:p w14:paraId="5866EBFA" w14:textId="63580560" w:rsidR="00EC2687" w:rsidRPr="009823F4" w:rsidRDefault="00BE5CC3" w:rsidP="00D45A79">
            <w:pPr>
              <w:spacing w:after="0" w:line="240" w:lineRule="auto"/>
              <w:jc w:val="center"/>
              <w:rPr>
                <w:rFonts w:eastAsia="Times New Roman"/>
                <w:b/>
                <w:bCs/>
                <w:color w:val="000000"/>
                <w:sz w:val="20"/>
                <w:szCs w:val="20"/>
                <w:lang w:eastAsia="hr-HR"/>
              </w:rPr>
            </w:pPr>
            <w:r>
              <w:rPr>
                <w:rFonts w:eastAsia="Times New Roman"/>
                <w:b/>
                <w:bCs/>
                <w:color w:val="000000"/>
                <w:sz w:val="20"/>
                <w:szCs w:val="20"/>
                <w:lang w:eastAsia="hr-HR"/>
              </w:rPr>
              <w:t>11</w:t>
            </w:r>
            <w:r w:rsidR="00EC2687" w:rsidRPr="009823F4">
              <w:rPr>
                <w:rFonts w:eastAsia="Times New Roman"/>
                <w:b/>
                <w:bCs/>
                <w:color w:val="000000"/>
                <w:sz w:val="20"/>
                <w:szCs w:val="20"/>
                <w:lang w:eastAsia="hr-HR"/>
              </w:rPr>
              <w:t>=6-</w:t>
            </w:r>
            <w:r>
              <w:rPr>
                <w:rFonts w:eastAsia="Times New Roman"/>
                <w:b/>
                <w:bCs/>
                <w:color w:val="000000"/>
                <w:sz w:val="20"/>
                <w:szCs w:val="20"/>
                <w:lang w:eastAsia="hr-HR"/>
              </w:rPr>
              <w:t>10</w:t>
            </w:r>
          </w:p>
        </w:tc>
      </w:tr>
      <w:tr w:rsidR="00BE5CC3" w:rsidRPr="009823F4" w14:paraId="4423ABC9" w14:textId="77777777" w:rsidTr="00AF22F4">
        <w:trPr>
          <w:trHeight w:val="525"/>
          <w:jc w:val="center"/>
        </w:trPr>
        <w:tc>
          <w:tcPr>
            <w:tcW w:w="953" w:type="dxa"/>
            <w:vMerge w:val="restart"/>
            <w:tcBorders>
              <w:top w:val="nil"/>
              <w:left w:val="single" w:sz="8" w:space="0" w:color="auto"/>
              <w:bottom w:val="single" w:sz="8" w:space="0" w:color="000000"/>
              <w:right w:val="single" w:sz="8" w:space="0" w:color="auto"/>
            </w:tcBorders>
            <w:vAlign w:val="center"/>
            <w:hideMark/>
          </w:tcPr>
          <w:p w14:paraId="2E52AFCA" w14:textId="77777777" w:rsidR="00BE5CC3" w:rsidRPr="009823F4" w:rsidRDefault="00BE5CC3" w:rsidP="00BE5CC3">
            <w:pPr>
              <w:spacing w:after="0" w:line="240" w:lineRule="auto"/>
              <w:jc w:val="center"/>
              <w:rPr>
                <w:rFonts w:eastAsia="Times New Roman"/>
                <w:b/>
                <w:bCs/>
                <w:color w:val="000000"/>
                <w:sz w:val="20"/>
                <w:szCs w:val="20"/>
                <w:lang w:eastAsia="hr-HR"/>
              </w:rPr>
            </w:pPr>
            <w:proofErr w:type="spellStart"/>
            <w:r w:rsidRPr="009823F4">
              <w:rPr>
                <w:rFonts w:eastAsia="Times New Roman"/>
                <w:b/>
                <w:bCs/>
                <w:color w:val="000000"/>
                <w:sz w:val="20"/>
                <w:szCs w:val="20"/>
                <w:lang w:eastAsia="hr-HR"/>
              </w:rPr>
              <w:t>NuET</w:t>
            </w:r>
            <w:proofErr w:type="spellEnd"/>
          </w:p>
        </w:tc>
        <w:tc>
          <w:tcPr>
            <w:tcW w:w="1447" w:type="dxa"/>
            <w:vMerge w:val="restart"/>
            <w:tcBorders>
              <w:top w:val="nil"/>
              <w:left w:val="single" w:sz="8" w:space="0" w:color="auto"/>
              <w:bottom w:val="single" w:sz="8" w:space="0" w:color="000000"/>
              <w:right w:val="single" w:sz="8" w:space="0" w:color="auto"/>
            </w:tcBorders>
            <w:vAlign w:val="center"/>
            <w:hideMark/>
          </w:tcPr>
          <w:p w14:paraId="352EB6B8" w14:textId="77777777" w:rsidR="00BE5CC3" w:rsidRPr="009823F4" w:rsidRDefault="00BE5CC3" w:rsidP="00BE5CC3">
            <w:pPr>
              <w:spacing w:after="0" w:line="240" w:lineRule="auto"/>
              <w:jc w:val="left"/>
              <w:rPr>
                <w:rFonts w:eastAsia="Times New Roman"/>
                <w:b/>
                <w:bCs/>
                <w:color w:val="000000"/>
                <w:sz w:val="20"/>
                <w:szCs w:val="20"/>
                <w:lang w:eastAsia="hr-HR"/>
              </w:rPr>
            </w:pPr>
            <w:proofErr w:type="spellStart"/>
            <w:r w:rsidRPr="009823F4">
              <w:rPr>
                <w:rFonts w:eastAsia="Times New Roman"/>
                <w:b/>
                <w:bCs/>
                <w:color w:val="000000"/>
                <w:sz w:val="20"/>
                <w:szCs w:val="20"/>
                <w:lang w:eastAsia="hr-HR"/>
              </w:rPr>
              <w:t>Niskougljična</w:t>
            </w:r>
            <w:proofErr w:type="spellEnd"/>
            <w:r w:rsidRPr="009823F4">
              <w:rPr>
                <w:rFonts w:eastAsia="Times New Roman"/>
                <w:b/>
                <w:bCs/>
                <w:color w:val="000000"/>
                <w:sz w:val="20"/>
                <w:szCs w:val="20"/>
                <w:lang w:eastAsia="hr-HR"/>
              </w:rPr>
              <w:t xml:space="preserve"> energetska tranzicija</w:t>
            </w:r>
          </w:p>
        </w:tc>
        <w:tc>
          <w:tcPr>
            <w:tcW w:w="709" w:type="dxa"/>
            <w:tcBorders>
              <w:top w:val="nil"/>
              <w:left w:val="nil"/>
              <w:bottom w:val="single" w:sz="8" w:space="0" w:color="auto"/>
              <w:right w:val="single" w:sz="8" w:space="0" w:color="auto"/>
            </w:tcBorders>
            <w:vAlign w:val="center"/>
            <w:hideMark/>
          </w:tcPr>
          <w:p w14:paraId="5C247E9E" w14:textId="77777777" w:rsidR="00BE5CC3" w:rsidRPr="009823F4" w:rsidRDefault="00BE5CC3" w:rsidP="00BE5CC3">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OIE</w:t>
            </w:r>
          </w:p>
        </w:tc>
        <w:tc>
          <w:tcPr>
            <w:tcW w:w="1701" w:type="dxa"/>
            <w:tcBorders>
              <w:top w:val="nil"/>
              <w:left w:val="nil"/>
              <w:bottom w:val="single" w:sz="8" w:space="0" w:color="auto"/>
              <w:right w:val="single" w:sz="8" w:space="0" w:color="auto"/>
            </w:tcBorders>
            <w:vAlign w:val="center"/>
            <w:hideMark/>
          </w:tcPr>
          <w:p w14:paraId="7F1A6210" w14:textId="77777777" w:rsidR="00BE5CC3" w:rsidRPr="009823F4" w:rsidRDefault="00BE5CC3" w:rsidP="00BE5CC3">
            <w:pPr>
              <w:spacing w:after="0" w:line="240" w:lineRule="auto"/>
              <w:rPr>
                <w:rFonts w:eastAsia="Times New Roman"/>
                <w:color w:val="000000"/>
                <w:sz w:val="20"/>
                <w:szCs w:val="20"/>
                <w:lang w:eastAsia="hr-HR"/>
              </w:rPr>
            </w:pPr>
            <w:r w:rsidRPr="009823F4">
              <w:rPr>
                <w:rFonts w:eastAsia="Times New Roman"/>
                <w:color w:val="000000"/>
                <w:sz w:val="20"/>
                <w:szCs w:val="20"/>
                <w:lang w:eastAsia="hr-HR"/>
              </w:rPr>
              <w:t>Obnovljivi izvori energije</w:t>
            </w:r>
          </w:p>
        </w:tc>
        <w:tc>
          <w:tcPr>
            <w:tcW w:w="1984" w:type="dxa"/>
            <w:vMerge w:val="restart"/>
            <w:tcBorders>
              <w:top w:val="nil"/>
              <w:left w:val="single" w:sz="8" w:space="0" w:color="auto"/>
              <w:bottom w:val="single" w:sz="8" w:space="0" w:color="000000"/>
              <w:right w:val="single" w:sz="8" w:space="0" w:color="auto"/>
            </w:tcBorders>
            <w:vAlign w:val="center"/>
            <w:hideMark/>
          </w:tcPr>
          <w:p w14:paraId="32310AE1"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459.056.555,05</w:t>
            </w:r>
          </w:p>
        </w:tc>
        <w:tc>
          <w:tcPr>
            <w:tcW w:w="1134" w:type="dxa"/>
            <w:vMerge w:val="restart"/>
            <w:tcBorders>
              <w:top w:val="nil"/>
              <w:left w:val="single" w:sz="8" w:space="0" w:color="auto"/>
              <w:bottom w:val="single" w:sz="8" w:space="0" w:color="000000"/>
              <w:right w:val="single" w:sz="8" w:space="0" w:color="auto"/>
            </w:tcBorders>
            <w:vAlign w:val="center"/>
            <w:hideMark/>
          </w:tcPr>
          <w:p w14:paraId="1E7B3860" w14:textId="3C73984E"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73,99</w:t>
            </w:r>
            <w:r>
              <w:rPr>
                <w:rFonts w:eastAsia="Times New Roman"/>
                <w:b/>
                <w:bCs/>
                <w:color w:val="000000"/>
                <w:lang w:eastAsia="hr-HR"/>
              </w:rPr>
              <w:t xml:space="preserve"> </w:t>
            </w:r>
            <w:r w:rsidRPr="009823F4">
              <w:rPr>
                <w:rFonts w:eastAsia="Times New Roman"/>
                <w:b/>
                <w:bCs/>
                <w:color w:val="000000"/>
                <w:lang w:eastAsia="hr-HR"/>
              </w:rPr>
              <w:t>%</w:t>
            </w:r>
          </w:p>
        </w:tc>
        <w:tc>
          <w:tcPr>
            <w:tcW w:w="1843" w:type="dxa"/>
            <w:tcBorders>
              <w:top w:val="nil"/>
              <w:left w:val="nil"/>
              <w:bottom w:val="single" w:sz="8" w:space="0" w:color="auto"/>
              <w:right w:val="single" w:sz="8" w:space="0" w:color="auto"/>
            </w:tcBorders>
            <w:vAlign w:val="center"/>
            <w:hideMark/>
          </w:tcPr>
          <w:p w14:paraId="782E7E28"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137.595.078,64</w:t>
            </w:r>
          </w:p>
        </w:tc>
        <w:tc>
          <w:tcPr>
            <w:tcW w:w="1985" w:type="dxa"/>
            <w:tcBorders>
              <w:top w:val="nil"/>
              <w:left w:val="single" w:sz="8" w:space="0" w:color="auto"/>
              <w:bottom w:val="single" w:sz="8" w:space="0" w:color="auto"/>
              <w:right w:val="single" w:sz="8" w:space="0" w:color="auto"/>
            </w:tcBorders>
            <w:vAlign w:val="center"/>
            <w:hideMark/>
          </w:tcPr>
          <w:p w14:paraId="2AAAC915" w14:textId="43B6D838" w:rsidR="00BE5CC3" w:rsidRPr="009823F4" w:rsidRDefault="00BE5CC3" w:rsidP="00BE5CC3">
            <w:pPr>
              <w:spacing w:after="0" w:line="240" w:lineRule="auto"/>
              <w:jc w:val="center"/>
              <w:rPr>
                <w:rFonts w:eastAsia="Times New Roman"/>
                <w:b/>
                <w:bCs/>
                <w:color w:val="000000"/>
                <w:lang w:eastAsia="hr-HR"/>
              </w:rPr>
            </w:pPr>
            <w:r w:rsidRPr="00614608">
              <w:rPr>
                <w:b/>
                <w:bCs/>
                <w:color w:val="000000"/>
              </w:rPr>
              <w:t>2.185.921,87</w:t>
            </w:r>
          </w:p>
        </w:tc>
        <w:tc>
          <w:tcPr>
            <w:tcW w:w="2268" w:type="dxa"/>
            <w:tcBorders>
              <w:top w:val="nil"/>
              <w:left w:val="nil"/>
              <w:bottom w:val="single" w:sz="4" w:space="0" w:color="auto"/>
              <w:right w:val="single" w:sz="8" w:space="0" w:color="auto"/>
            </w:tcBorders>
            <w:vAlign w:val="center"/>
          </w:tcPr>
          <w:p w14:paraId="43DB8EE8" w14:textId="2BB56F14" w:rsidR="00BE5CC3" w:rsidRPr="009823F4" w:rsidRDefault="00BE5CC3" w:rsidP="00BE5CC3">
            <w:pPr>
              <w:spacing w:after="0" w:line="240" w:lineRule="auto"/>
              <w:jc w:val="center"/>
              <w:rPr>
                <w:rFonts w:eastAsia="Times New Roman"/>
                <w:b/>
                <w:bCs/>
                <w:color w:val="000000"/>
                <w:lang w:eastAsia="hr-HR"/>
              </w:rPr>
            </w:pPr>
            <w:r w:rsidRPr="00614608">
              <w:rPr>
                <w:b/>
                <w:bCs/>
                <w:color w:val="000000"/>
              </w:rPr>
              <w:t>7.439.370,77</w:t>
            </w:r>
          </w:p>
        </w:tc>
        <w:tc>
          <w:tcPr>
            <w:tcW w:w="2268" w:type="dxa"/>
            <w:tcBorders>
              <w:top w:val="nil"/>
              <w:left w:val="nil"/>
              <w:bottom w:val="single" w:sz="8" w:space="0" w:color="auto"/>
              <w:right w:val="nil"/>
            </w:tcBorders>
            <w:vAlign w:val="center"/>
            <w:hideMark/>
          </w:tcPr>
          <w:p w14:paraId="74F0EA8A" w14:textId="74177B21"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15.523.948,98</w:t>
            </w:r>
          </w:p>
        </w:tc>
        <w:tc>
          <w:tcPr>
            <w:tcW w:w="2126" w:type="dxa"/>
            <w:tcBorders>
              <w:top w:val="single" w:sz="8" w:space="0" w:color="auto"/>
              <w:left w:val="single" w:sz="8" w:space="0" w:color="auto"/>
              <w:bottom w:val="single" w:sz="8" w:space="0" w:color="auto"/>
              <w:right w:val="single" w:sz="8" w:space="0" w:color="auto"/>
            </w:tcBorders>
            <w:vAlign w:val="center"/>
            <w:hideMark/>
          </w:tcPr>
          <w:p w14:paraId="5962AE03"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25.149.241,62</w:t>
            </w:r>
          </w:p>
        </w:tc>
        <w:tc>
          <w:tcPr>
            <w:tcW w:w="2410" w:type="dxa"/>
            <w:tcBorders>
              <w:top w:val="nil"/>
              <w:left w:val="nil"/>
              <w:bottom w:val="single" w:sz="8" w:space="0" w:color="auto"/>
              <w:right w:val="single" w:sz="8" w:space="0" w:color="auto"/>
            </w:tcBorders>
            <w:vAlign w:val="center"/>
            <w:hideMark/>
          </w:tcPr>
          <w:p w14:paraId="39BA88ED"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112.445.837,02</w:t>
            </w:r>
          </w:p>
        </w:tc>
      </w:tr>
      <w:tr w:rsidR="00BE5CC3" w:rsidRPr="009823F4" w14:paraId="23A53690" w14:textId="77777777" w:rsidTr="00AF22F4">
        <w:trPr>
          <w:trHeight w:val="780"/>
          <w:jc w:val="center"/>
        </w:trPr>
        <w:tc>
          <w:tcPr>
            <w:tcW w:w="953" w:type="dxa"/>
            <w:vMerge/>
            <w:tcBorders>
              <w:top w:val="nil"/>
              <w:left w:val="single" w:sz="8" w:space="0" w:color="auto"/>
              <w:bottom w:val="single" w:sz="8" w:space="0" w:color="000000"/>
              <w:right w:val="single" w:sz="8" w:space="0" w:color="auto"/>
            </w:tcBorders>
            <w:vAlign w:val="center"/>
            <w:hideMark/>
          </w:tcPr>
          <w:p w14:paraId="278226FF" w14:textId="77777777" w:rsidR="00BE5CC3" w:rsidRPr="009823F4" w:rsidRDefault="00BE5CC3" w:rsidP="00BE5CC3">
            <w:pPr>
              <w:spacing w:after="0" w:line="240" w:lineRule="auto"/>
              <w:jc w:val="left"/>
              <w:rPr>
                <w:rFonts w:eastAsia="Times New Roman"/>
                <w:b/>
                <w:bCs/>
                <w:color w:val="000000"/>
                <w:sz w:val="20"/>
                <w:szCs w:val="20"/>
                <w:lang w:eastAsia="hr-HR"/>
              </w:rPr>
            </w:pPr>
          </w:p>
        </w:tc>
        <w:tc>
          <w:tcPr>
            <w:tcW w:w="1447" w:type="dxa"/>
            <w:vMerge/>
            <w:tcBorders>
              <w:top w:val="nil"/>
              <w:left w:val="single" w:sz="8" w:space="0" w:color="auto"/>
              <w:bottom w:val="single" w:sz="8" w:space="0" w:color="000000"/>
              <w:right w:val="single" w:sz="8" w:space="0" w:color="auto"/>
            </w:tcBorders>
            <w:vAlign w:val="center"/>
            <w:hideMark/>
          </w:tcPr>
          <w:p w14:paraId="471ECA78" w14:textId="77777777" w:rsidR="00BE5CC3" w:rsidRPr="009823F4" w:rsidRDefault="00BE5CC3" w:rsidP="00BE5CC3">
            <w:pPr>
              <w:spacing w:after="0" w:line="240" w:lineRule="auto"/>
              <w:jc w:val="left"/>
              <w:rPr>
                <w:rFonts w:eastAsia="Times New Roman"/>
                <w:b/>
                <w:bCs/>
                <w:color w:val="000000"/>
                <w:sz w:val="20"/>
                <w:szCs w:val="20"/>
                <w:lang w:eastAsia="hr-HR"/>
              </w:rPr>
            </w:pPr>
          </w:p>
        </w:tc>
        <w:tc>
          <w:tcPr>
            <w:tcW w:w="709" w:type="dxa"/>
            <w:tcBorders>
              <w:top w:val="nil"/>
              <w:left w:val="nil"/>
              <w:bottom w:val="single" w:sz="8" w:space="0" w:color="auto"/>
              <w:right w:val="single" w:sz="8" w:space="0" w:color="auto"/>
            </w:tcBorders>
            <w:vAlign w:val="center"/>
            <w:hideMark/>
          </w:tcPr>
          <w:p w14:paraId="034A4287" w14:textId="77777777" w:rsidR="00BE5CC3" w:rsidRPr="009823F4" w:rsidRDefault="00BE5CC3" w:rsidP="00BE5CC3">
            <w:pPr>
              <w:spacing w:after="0" w:line="240" w:lineRule="auto"/>
              <w:jc w:val="center"/>
              <w:rPr>
                <w:rFonts w:eastAsia="Times New Roman"/>
                <w:b/>
                <w:bCs/>
                <w:color w:val="000000"/>
                <w:sz w:val="20"/>
                <w:szCs w:val="20"/>
                <w:lang w:eastAsia="hr-HR"/>
              </w:rPr>
            </w:pPr>
            <w:proofErr w:type="spellStart"/>
            <w:r w:rsidRPr="009823F4">
              <w:rPr>
                <w:rFonts w:eastAsia="Times New Roman"/>
                <w:b/>
                <w:bCs/>
                <w:color w:val="000000"/>
                <w:sz w:val="20"/>
                <w:szCs w:val="20"/>
                <w:lang w:eastAsia="hr-HR"/>
              </w:rPr>
              <w:t>EnU</w:t>
            </w:r>
            <w:proofErr w:type="spellEnd"/>
          </w:p>
        </w:tc>
        <w:tc>
          <w:tcPr>
            <w:tcW w:w="1701" w:type="dxa"/>
            <w:tcBorders>
              <w:top w:val="nil"/>
              <w:left w:val="nil"/>
              <w:bottom w:val="single" w:sz="8" w:space="0" w:color="auto"/>
              <w:right w:val="single" w:sz="8" w:space="0" w:color="auto"/>
            </w:tcBorders>
            <w:vAlign w:val="center"/>
            <w:hideMark/>
          </w:tcPr>
          <w:p w14:paraId="52E6DBDB" w14:textId="77777777" w:rsidR="00BE5CC3" w:rsidRPr="009823F4" w:rsidRDefault="00BE5CC3" w:rsidP="00BE5CC3">
            <w:pPr>
              <w:spacing w:after="0" w:line="240" w:lineRule="auto"/>
              <w:rPr>
                <w:rFonts w:eastAsia="Times New Roman"/>
                <w:color w:val="000000"/>
                <w:sz w:val="20"/>
                <w:szCs w:val="20"/>
                <w:lang w:eastAsia="hr-HR"/>
              </w:rPr>
            </w:pPr>
            <w:r w:rsidRPr="009823F4">
              <w:rPr>
                <w:rFonts w:eastAsia="Times New Roman"/>
                <w:color w:val="000000"/>
                <w:sz w:val="20"/>
                <w:szCs w:val="20"/>
                <w:lang w:eastAsia="hr-HR"/>
              </w:rPr>
              <w:t>Povećanje energetske učinkovitosti</w:t>
            </w:r>
          </w:p>
        </w:tc>
        <w:tc>
          <w:tcPr>
            <w:tcW w:w="1984" w:type="dxa"/>
            <w:vMerge/>
            <w:tcBorders>
              <w:top w:val="nil"/>
              <w:left w:val="single" w:sz="8" w:space="0" w:color="auto"/>
              <w:bottom w:val="single" w:sz="8" w:space="0" w:color="000000"/>
              <w:right w:val="single" w:sz="8" w:space="0" w:color="auto"/>
            </w:tcBorders>
            <w:vAlign w:val="center"/>
            <w:hideMark/>
          </w:tcPr>
          <w:p w14:paraId="7D8D3DD8" w14:textId="77777777" w:rsidR="00BE5CC3" w:rsidRPr="009823F4" w:rsidRDefault="00BE5CC3" w:rsidP="00BE5CC3">
            <w:pPr>
              <w:spacing w:after="0" w:line="240" w:lineRule="auto"/>
              <w:jc w:val="left"/>
              <w:rPr>
                <w:rFonts w:eastAsia="Times New Roman"/>
                <w:b/>
                <w:bCs/>
                <w:color w:val="000000"/>
                <w:lang w:eastAsia="hr-HR"/>
              </w:rPr>
            </w:pPr>
          </w:p>
        </w:tc>
        <w:tc>
          <w:tcPr>
            <w:tcW w:w="1134" w:type="dxa"/>
            <w:vMerge/>
            <w:tcBorders>
              <w:top w:val="nil"/>
              <w:left w:val="single" w:sz="8" w:space="0" w:color="auto"/>
              <w:bottom w:val="single" w:sz="8" w:space="0" w:color="000000"/>
              <w:right w:val="single" w:sz="8" w:space="0" w:color="auto"/>
            </w:tcBorders>
            <w:vAlign w:val="center"/>
            <w:hideMark/>
          </w:tcPr>
          <w:p w14:paraId="2E8A7DC8" w14:textId="77777777" w:rsidR="00BE5CC3" w:rsidRPr="009823F4" w:rsidRDefault="00BE5CC3" w:rsidP="00BE5CC3">
            <w:pPr>
              <w:spacing w:after="0" w:line="240" w:lineRule="auto"/>
              <w:jc w:val="left"/>
              <w:rPr>
                <w:rFonts w:eastAsia="Times New Roman"/>
                <w:b/>
                <w:bCs/>
                <w:color w:val="000000"/>
                <w:lang w:eastAsia="hr-HR"/>
              </w:rPr>
            </w:pPr>
          </w:p>
        </w:tc>
        <w:tc>
          <w:tcPr>
            <w:tcW w:w="1843" w:type="dxa"/>
            <w:tcBorders>
              <w:top w:val="nil"/>
              <w:left w:val="nil"/>
              <w:bottom w:val="single" w:sz="8" w:space="0" w:color="auto"/>
              <w:right w:val="single" w:sz="8" w:space="0" w:color="auto"/>
            </w:tcBorders>
            <w:vAlign w:val="center"/>
            <w:hideMark/>
          </w:tcPr>
          <w:p w14:paraId="1208344E"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89.727.452,92</w:t>
            </w:r>
          </w:p>
        </w:tc>
        <w:tc>
          <w:tcPr>
            <w:tcW w:w="1985" w:type="dxa"/>
            <w:tcBorders>
              <w:top w:val="nil"/>
              <w:left w:val="single" w:sz="8" w:space="0" w:color="auto"/>
              <w:bottom w:val="single" w:sz="8" w:space="0" w:color="auto"/>
              <w:right w:val="single" w:sz="8" w:space="0" w:color="auto"/>
            </w:tcBorders>
            <w:vAlign w:val="center"/>
            <w:hideMark/>
          </w:tcPr>
          <w:p w14:paraId="5FCB5539" w14:textId="67970B4C" w:rsidR="00BE5CC3" w:rsidRPr="009823F4" w:rsidRDefault="00BE5CC3" w:rsidP="00BE5CC3">
            <w:pPr>
              <w:spacing w:after="0" w:line="240" w:lineRule="auto"/>
              <w:jc w:val="center"/>
              <w:rPr>
                <w:rFonts w:eastAsia="Times New Roman"/>
                <w:b/>
                <w:bCs/>
                <w:color w:val="000000"/>
                <w:lang w:eastAsia="hr-HR"/>
              </w:rPr>
            </w:pPr>
            <w:r w:rsidRPr="00614608">
              <w:rPr>
                <w:b/>
                <w:bCs/>
                <w:color w:val="000000"/>
              </w:rPr>
              <w:t>11.648.574,05</w:t>
            </w:r>
          </w:p>
        </w:tc>
        <w:tc>
          <w:tcPr>
            <w:tcW w:w="2268" w:type="dxa"/>
            <w:tcBorders>
              <w:top w:val="nil"/>
              <w:left w:val="nil"/>
              <w:bottom w:val="single" w:sz="4" w:space="0" w:color="auto"/>
              <w:right w:val="single" w:sz="8" w:space="0" w:color="auto"/>
            </w:tcBorders>
            <w:vAlign w:val="center"/>
          </w:tcPr>
          <w:p w14:paraId="60BC3BE5" w14:textId="6A731E51" w:rsidR="00BE5CC3" w:rsidRPr="009823F4" w:rsidRDefault="00BE5CC3" w:rsidP="00BE5CC3">
            <w:pPr>
              <w:spacing w:after="0" w:line="240" w:lineRule="auto"/>
              <w:jc w:val="center"/>
              <w:rPr>
                <w:rFonts w:eastAsia="Times New Roman"/>
                <w:b/>
                <w:bCs/>
                <w:color w:val="000000"/>
                <w:lang w:eastAsia="hr-HR"/>
              </w:rPr>
            </w:pPr>
            <w:r w:rsidRPr="00614608">
              <w:rPr>
                <w:b/>
                <w:bCs/>
                <w:color w:val="000000"/>
              </w:rPr>
              <w:t>18.648.449,86</w:t>
            </w:r>
          </w:p>
        </w:tc>
        <w:tc>
          <w:tcPr>
            <w:tcW w:w="2268" w:type="dxa"/>
            <w:tcBorders>
              <w:top w:val="nil"/>
              <w:left w:val="nil"/>
              <w:bottom w:val="single" w:sz="8" w:space="0" w:color="auto"/>
              <w:right w:val="nil"/>
            </w:tcBorders>
            <w:vAlign w:val="center"/>
            <w:hideMark/>
          </w:tcPr>
          <w:p w14:paraId="16915116" w14:textId="5906461A"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21.744.402,12</w:t>
            </w:r>
          </w:p>
        </w:tc>
        <w:tc>
          <w:tcPr>
            <w:tcW w:w="2126" w:type="dxa"/>
            <w:tcBorders>
              <w:top w:val="nil"/>
              <w:left w:val="single" w:sz="8" w:space="0" w:color="auto"/>
              <w:bottom w:val="single" w:sz="8" w:space="0" w:color="auto"/>
              <w:right w:val="single" w:sz="8" w:space="0" w:color="auto"/>
            </w:tcBorders>
            <w:vAlign w:val="center"/>
            <w:hideMark/>
          </w:tcPr>
          <w:p w14:paraId="5FE0899D"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52.041.426,03</w:t>
            </w:r>
          </w:p>
        </w:tc>
        <w:tc>
          <w:tcPr>
            <w:tcW w:w="2410" w:type="dxa"/>
            <w:tcBorders>
              <w:top w:val="nil"/>
              <w:left w:val="nil"/>
              <w:bottom w:val="single" w:sz="8" w:space="0" w:color="auto"/>
              <w:right w:val="single" w:sz="8" w:space="0" w:color="auto"/>
            </w:tcBorders>
            <w:vAlign w:val="center"/>
            <w:hideMark/>
          </w:tcPr>
          <w:p w14:paraId="440C36F5"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37.686.026,89</w:t>
            </w:r>
          </w:p>
        </w:tc>
      </w:tr>
      <w:tr w:rsidR="00BE5CC3" w:rsidRPr="009823F4" w14:paraId="4588A06E" w14:textId="77777777" w:rsidTr="00AF22F4">
        <w:trPr>
          <w:trHeight w:val="525"/>
          <w:jc w:val="center"/>
        </w:trPr>
        <w:tc>
          <w:tcPr>
            <w:tcW w:w="953" w:type="dxa"/>
            <w:vMerge/>
            <w:tcBorders>
              <w:top w:val="nil"/>
              <w:left w:val="single" w:sz="8" w:space="0" w:color="auto"/>
              <w:bottom w:val="single" w:sz="8" w:space="0" w:color="000000"/>
              <w:right w:val="single" w:sz="8" w:space="0" w:color="auto"/>
            </w:tcBorders>
            <w:vAlign w:val="center"/>
            <w:hideMark/>
          </w:tcPr>
          <w:p w14:paraId="142AF8D3" w14:textId="77777777" w:rsidR="00BE5CC3" w:rsidRPr="009823F4" w:rsidRDefault="00BE5CC3" w:rsidP="00BE5CC3">
            <w:pPr>
              <w:spacing w:after="0" w:line="240" w:lineRule="auto"/>
              <w:jc w:val="left"/>
              <w:rPr>
                <w:rFonts w:eastAsia="Times New Roman"/>
                <w:b/>
                <w:bCs/>
                <w:color w:val="000000"/>
                <w:sz w:val="20"/>
                <w:szCs w:val="20"/>
                <w:lang w:eastAsia="hr-HR"/>
              </w:rPr>
            </w:pPr>
          </w:p>
        </w:tc>
        <w:tc>
          <w:tcPr>
            <w:tcW w:w="1447" w:type="dxa"/>
            <w:vMerge/>
            <w:tcBorders>
              <w:top w:val="nil"/>
              <w:left w:val="single" w:sz="8" w:space="0" w:color="auto"/>
              <w:bottom w:val="single" w:sz="8" w:space="0" w:color="000000"/>
              <w:right w:val="single" w:sz="8" w:space="0" w:color="auto"/>
            </w:tcBorders>
            <w:vAlign w:val="center"/>
            <w:hideMark/>
          </w:tcPr>
          <w:p w14:paraId="4F986735" w14:textId="77777777" w:rsidR="00BE5CC3" w:rsidRPr="009823F4" w:rsidRDefault="00BE5CC3" w:rsidP="00BE5CC3">
            <w:pPr>
              <w:spacing w:after="0" w:line="240" w:lineRule="auto"/>
              <w:jc w:val="left"/>
              <w:rPr>
                <w:rFonts w:eastAsia="Times New Roman"/>
                <w:b/>
                <w:bCs/>
                <w:color w:val="000000"/>
                <w:sz w:val="20"/>
                <w:szCs w:val="20"/>
                <w:lang w:eastAsia="hr-HR"/>
              </w:rPr>
            </w:pPr>
          </w:p>
        </w:tc>
        <w:tc>
          <w:tcPr>
            <w:tcW w:w="709" w:type="dxa"/>
            <w:tcBorders>
              <w:top w:val="nil"/>
              <w:left w:val="nil"/>
              <w:bottom w:val="single" w:sz="8" w:space="0" w:color="auto"/>
              <w:right w:val="single" w:sz="8" w:space="0" w:color="auto"/>
            </w:tcBorders>
            <w:vAlign w:val="center"/>
            <w:hideMark/>
          </w:tcPr>
          <w:p w14:paraId="24BC2AB5" w14:textId="77777777" w:rsidR="00BE5CC3" w:rsidRPr="009823F4" w:rsidRDefault="00BE5CC3" w:rsidP="00BE5CC3">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ES</w:t>
            </w:r>
          </w:p>
        </w:tc>
        <w:tc>
          <w:tcPr>
            <w:tcW w:w="1701" w:type="dxa"/>
            <w:tcBorders>
              <w:top w:val="nil"/>
              <w:left w:val="nil"/>
              <w:bottom w:val="single" w:sz="8" w:space="0" w:color="auto"/>
              <w:right w:val="single" w:sz="8" w:space="0" w:color="auto"/>
            </w:tcBorders>
            <w:vAlign w:val="center"/>
            <w:hideMark/>
          </w:tcPr>
          <w:p w14:paraId="61BF1C0C" w14:textId="77777777" w:rsidR="00BE5CC3" w:rsidRPr="009823F4" w:rsidRDefault="00BE5CC3" w:rsidP="00BE5CC3">
            <w:pPr>
              <w:spacing w:after="0" w:line="240" w:lineRule="auto"/>
              <w:rPr>
                <w:rFonts w:eastAsia="Times New Roman"/>
                <w:color w:val="000000"/>
                <w:sz w:val="20"/>
                <w:szCs w:val="20"/>
                <w:lang w:eastAsia="hr-HR"/>
              </w:rPr>
            </w:pPr>
            <w:r w:rsidRPr="009823F4">
              <w:rPr>
                <w:rFonts w:eastAsia="Times New Roman"/>
                <w:color w:val="000000"/>
                <w:sz w:val="20"/>
                <w:szCs w:val="20"/>
                <w:lang w:eastAsia="hr-HR"/>
              </w:rPr>
              <w:t>Energetsko siromaštvo</w:t>
            </w:r>
          </w:p>
        </w:tc>
        <w:tc>
          <w:tcPr>
            <w:tcW w:w="1984" w:type="dxa"/>
            <w:vMerge/>
            <w:tcBorders>
              <w:top w:val="nil"/>
              <w:left w:val="single" w:sz="8" w:space="0" w:color="auto"/>
              <w:bottom w:val="single" w:sz="8" w:space="0" w:color="000000"/>
              <w:right w:val="single" w:sz="8" w:space="0" w:color="auto"/>
            </w:tcBorders>
            <w:vAlign w:val="center"/>
            <w:hideMark/>
          </w:tcPr>
          <w:p w14:paraId="7BA3DE55" w14:textId="77777777" w:rsidR="00BE5CC3" w:rsidRPr="009823F4" w:rsidRDefault="00BE5CC3" w:rsidP="00BE5CC3">
            <w:pPr>
              <w:spacing w:after="0" w:line="240" w:lineRule="auto"/>
              <w:jc w:val="left"/>
              <w:rPr>
                <w:rFonts w:eastAsia="Times New Roman"/>
                <w:b/>
                <w:bCs/>
                <w:color w:val="000000"/>
                <w:lang w:eastAsia="hr-HR"/>
              </w:rPr>
            </w:pPr>
          </w:p>
        </w:tc>
        <w:tc>
          <w:tcPr>
            <w:tcW w:w="1134" w:type="dxa"/>
            <w:vMerge/>
            <w:tcBorders>
              <w:top w:val="nil"/>
              <w:left w:val="single" w:sz="8" w:space="0" w:color="auto"/>
              <w:bottom w:val="single" w:sz="8" w:space="0" w:color="000000"/>
              <w:right w:val="single" w:sz="8" w:space="0" w:color="auto"/>
            </w:tcBorders>
            <w:vAlign w:val="center"/>
            <w:hideMark/>
          </w:tcPr>
          <w:p w14:paraId="58956B3F" w14:textId="77777777" w:rsidR="00BE5CC3" w:rsidRPr="009823F4" w:rsidRDefault="00BE5CC3" w:rsidP="00BE5CC3">
            <w:pPr>
              <w:spacing w:after="0" w:line="240" w:lineRule="auto"/>
              <w:jc w:val="left"/>
              <w:rPr>
                <w:rFonts w:eastAsia="Times New Roman"/>
                <w:b/>
                <w:bCs/>
                <w:color w:val="000000"/>
                <w:lang w:eastAsia="hr-HR"/>
              </w:rPr>
            </w:pPr>
          </w:p>
        </w:tc>
        <w:tc>
          <w:tcPr>
            <w:tcW w:w="1843" w:type="dxa"/>
            <w:tcBorders>
              <w:top w:val="nil"/>
              <w:left w:val="nil"/>
              <w:bottom w:val="single" w:sz="8" w:space="0" w:color="auto"/>
              <w:right w:val="single" w:sz="8" w:space="0" w:color="auto"/>
            </w:tcBorders>
            <w:vAlign w:val="center"/>
            <w:hideMark/>
          </w:tcPr>
          <w:p w14:paraId="77404034"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185.811.931,78</w:t>
            </w:r>
          </w:p>
        </w:tc>
        <w:tc>
          <w:tcPr>
            <w:tcW w:w="1985" w:type="dxa"/>
            <w:tcBorders>
              <w:top w:val="nil"/>
              <w:left w:val="single" w:sz="8" w:space="0" w:color="auto"/>
              <w:bottom w:val="nil"/>
              <w:right w:val="single" w:sz="8" w:space="0" w:color="auto"/>
            </w:tcBorders>
            <w:vAlign w:val="center"/>
            <w:hideMark/>
          </w:tcPr>
          <w:p w14:paraId="76EBEF71" w14:textId="1DEF6891" w:rsidR="00BE5CC3" w:rsidRPr="009823F4" w:rsidRDefault="00BE5CC3" w:rsidP="00BE5CC3">
            <w:pPr>
              <w:spacing w:after="0" w:line="240" w:lineRule="auto"/>
              <w:jc w:val="center"/>
              <w:rPr>
                <w:rFonts w:eastAsia="Times New Roman"/>
                <w:b/>
                <w:bCs/>
                <w:color w:val="000000"/>
                <w:lang w:eastAsia="hr-HR"/>
              </w:rPr>
            </w:pPr>
            <w:r w:rsidRPr="00614608">
              <w:rPr>
                <w:b/>
                <w:bCs/>
                <w:color w:val="000000"/>
              </w:rPr>
              <w:t>79.633.685,05</w:t>
            </w:r>
          </w:p>
        </w:tc>
        <w:tc>
          <w:tcPr>
            <w:tcW w:w="2268" w:type="dxa"/>
            <w:tcBorders>
              <w:top w:val="nil"/>
              <w:left w:val="nil"/>
              <w:bottom w:val="single" w:sz="4" w:space="0" w:color="auto"/>
              <w:right w:val="single" w:sz="8" w:space="0" w:color="auto"/>
            </w:tcBorders>
            <w:vAlign w:val="center"/>
          </w:tcPr>
          <w:p w14:paraId="6D1CA8DE" w14:textId="5D5EF146" w:rsidR="00BE5CC3" w:rsidRPr="009823F4" w:rsidRDefault="00BE5CC3" w:rsidP="00BE5CC3">
            <w:pPr>
              <w:spacing w:after="0" w:line="240" w:lineRule="auto"/>
              <w:jc w:val="center"/>
              <w:rPr>
                <w:rFonts w:eastAsia="Times New Roman"/>
                <w:b/>
                <w:bCs/>
                <w:color w:val="000000"/>
                <w:lang w:eastAsia="hr-HR"/>
              </w:rPr>
            </w:pPr>
            <w:r w:rsidRPr="00614608">
              <w:rPr>
                <w:b/>
                <w:bCs/>
                <w:color w:val="000000"/>
              </w:rPr>
              <w:t>71.325.217,28</w:t>
            </w:r>
          </w:p>
        </w:tc>
        <w:tc>
          <w:tcPr>
            <w:tcW w:w="2268" w:type="dxa"/>
            <w:tcBorders>
              <w:top w:val="nil"/>
              <w:left w:val="nil"/>
              <w:bottom w:val="single" w:sz="8" w:space="0" w:color="auto"/>
              <w:right w:val="nil"/>
            </w:tcBorders>
            <w:vAlign w:val="center"/>
            <w:hideMark/>
          </w:tcPr>
          <w:p w14:paraId="544DB943" w14:textId="3052A1F9"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91.040.513,07</w:t>
            </w:r>
          </w:p>
        </w:tc>
        <w:tc>
          <w:tcPr>
            <w:tcW w:w="2126" w:type="dxa"/>
            <w:tcBorders>
              <w:top w:val="nil"/>
              <w:left w:val="single" w:sz="8" w:space="0" w:color="auto"/>
              <w:bottom w:val="single" w:sz="8" w:space="0" w:color="auto"/>
              <w:right w:val="single" w:sz="8" w:space="0" w:color="auto"/>
            </w:tcBorders>
            <w:vAlign w:val="center"/>
            <w:hideMark/>
          </w:tcPr>
          <w:p w14:paraId="44C918E1"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241.999.415,40</w:t>
            </w:r>
          </w:p>
        </w:tc>
        <w:tc>
          <w:tcPr>
            <w:tcW w:w="2410" w:type="dxa"/>
            <w:tcBorders>
              <w:top w:val="nil"/>
              <w:left w:val="nil"/>
              <w:bottom w:val="single" w:sz="8" w:space="0" w:color="auto"/>
              <w:right w:val="single" w:sz="8" w:space="0" w:color="auto"/>
            </w:tcBorders>
            <w:vAlign w:val="center"/>
            <w:hideMark/>
          </w:tcPr>
          <w:p w14:paraId="71CC4BE6"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-38.009.051,18</w:t>
            </w:r>
            <w:r w:rsidRPr="00AA3AEB">
              <w:rPr>
                <w:b/>
              </w:rPr>
              <w:t>*</w:t>
            </w:r>
          </w:p>
        </w:tc>
      </w:tr>
      <w:tr w:rsidR="00BE5CC3" w:rsidRPr="009823F4" w14:paraId="4F7FE5AA" w14:textId="77777777" w:rsidTr="00AF22F4">
        <w:trPr>
          <w:trHeight w:val="780"/>
          <w:jc w:val="center"/>
        </w:trPr>
        <w:tc>
          <w:tcPr>
            <w:tcW w:w="953" w:type="dxa"/>
            <w:vMerge/>
            <w:tcBorders>
              <w:top w:val="nil"/>
              <w:left w:val="single" w:sz="8" w:space="0" w:color="auto"/>
              <w:bottom w:val="single" w:sz="8" w:space="0" w:color="000000"/>
              <w:right w:val="single" w:sz="8" w:space="0" w:color="auto"/>
            </w:tcBorders>
            <w:vAlign w:val="center"/>
            <w:hideMark/>
          </w:tcPr>
          <w:p w14:paraId="257F68C4" w14:textId="77777777" w:rsidR="00BE5CC3" w:rsidRPr="009823F4" w:rsidRDefault="00BE5CC3" w:rsidP="00BE5CC3">
            <w:pPr>
              <w:spacing w:after="0" w:line="240" w:lineRule="auto"/>
              <w:jc w:val="left"/>
              <w:rPr>
                <w:rFonts w:eastAsia="Times New Roman"/>
                <w:b/>
                <w:bCs/>
                <w:color w:val="000000"/>
                <w:sz w:val="20"/>
                <w:szCs w:val="20"/>
                <w:lang w:eastAsia="hr-HR"/>
              </w:rPr>
            </w:pPr>
          </w:p>
        </w:tc>
        <w:tc>
          <w:tcPr>
            <w:tcW w:w="1447" w:type="dxa"/>
            <w:vMerge/>
            <w:tcBorders>
              <w:top w:val="nil"/>
              <w:left w:val="single" w:sz="8" w:space="0" w:color="auto"/>
              <w:bottom w:val="single" w:sz="8" w:space="0" w:color="000000"/>
              <w:right w:val="single" w:sz="8" w:space="0" w:color="auto"/>
            </w:tcBorders>
            <w:vAlign w:val="center"/>
            <w:hideMark/>
          </w:tcPr>
          <w:p w14:paraId="23E2E1A6" w14:textId="77777777" w:rsidR="00BE5CC3" w:rsidRPr="009823F4" w:rsidRDefault="00BE5CC3" w:rsidP="00BE5CC3">
            <w:pPr>
              <w:spacing w:after="0" w:line="240" w:lineRule="auto"/>
              <w:jc w:val="left"/>
              <w:rPr>
                <w:rFonts w:eastAsia="Times New Roman"/>
                <w:b/>
                <w:bCs/>
                <w:color w:val="000000"/>
                <w:sz w:val="20"/>
                <w:szCs w:val="20"/>
                <w:lang w:eastAsia="hr-HR"/>
              </w:rPr>
            </w:pPr>
          </w:p>
        </w:tc>
        <w:tc>
          <w:tcPr>
            <w:tcW w:w="709" w:type="dxa"/>
            <w:tcBorders>
              <w:top w:val="nil"/>
              <w:left w:val="nil"/>
              <w:bottom w:val="single" w:sz="8" w:space="0" w:color="auto"/>
              <w:right w:val="single" w:sz="8" w:space="0" w:color="auto"/>
            </w:tcBorders>
            <w:vAlign w:val="center"/>
            <w:hideMark/>
          </w:tcPr>
          <w:p w14:paraId="51F76ADB" w14:textId="77777777" w:rsidR="00BE5CC3" w:rsidRPr="009823F4" w:rsidRDefault="00BE5CC3" w:rsidP="00BE5CC3">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PR</w:t>
            </w:r>
          </w:p>
        </w:tc>
        <w:tc>
          <w:tcPr>
            <w:tcW w:w="1701" w:type="dxa"/>
            <w:tcBorders>
              <w:top w:val="nil"/>
              <w:left w:val="nil"/>
              <w:bottom w:val="single" w:sz="8" w:space="0" w:color="auto"/>
              <w:right w:val="single" w:sz="8" w:space="0" w:color="auto"/>
            </w:tcBorders>
            <w:vAlign w:val="center"/>
            <w:hideMark/>
          </w:tcPr>
          <w:p w14:paraId="1BCB2D53" w14:textId="77777777" w:rsidR="00BE5CC3" w:rsidRPr="009823F4" w:rsidRDefault="00BE5CC3" w:rsidP="00BE5CC3">
            <w:pPr>
              <w:spacing w:after="0" w:line="240" w:lineRule="auto"/>
              <w:rPr>
                <w:rFonts w:eastAsia="Times New Roman"/>
                <w:color w:val="000000"/>
                <w:sz w:val="20"/>
                <w:szCs w:val="20"/>
                <w:lang w:eastAsia="hr-HR"/>
              </w:rPr>
            </w:pPr>
            <w:r w:rsidRPr="009823F4">
              <w:rPr>
                <w:rFonts w:eastAsia="Times New Roman"/>
                <w:color w:val="000000"/>
                <w:sz w:val="20"/>
                <w:szCs w:val="20"/>
                <w:lang w:eastAsia="hr-HR"/>
              </w:rPr>
              <w:t>Smanjenje emisija stakleničkih plinova u prometu</w:t>
            </w:r>
          </w:p>
        </w:tc>
        <w:tc>
          <w:tcPr>
            <w:tcW w:w="1984" w:type="dxa"/>
            <w:vMerge/>
            <w:tcBorders>
              <w:top w:val="nil"/>
              <w:left w:val="single" w:sz="8" w:space="0" w:color="auto"/>
              <w:bottom w:val="single" w:sz="8" w:space="0" w:color="000000"/>
              <w:right w:val="single" w:sz="8" w:space="0" w:color="auto"/>
            </w:tcBorders>
            <w:vAlign w:val="center"/>
            <w:hideMark/>
          </w:tcPr>
          <w:p w14:paraId="5C9693DB" w14:textId="77777777" w:rsidR="00BE5CC3" w:rsidRPr="009823F4" w:rsidRDefault="00BE5CC3" w:rsidP="00BE5CC3">
            <w:pPr>
              <w:spacing w:after="0" w:line="240" w:lineRule="auto"/>
              <w:jc w:val="left"/>
              <w:rPr>
                <w:rFonts w:eastAsia="Times New Roman"/>
                <w:b/>
                <w:bCs/>
                <w:color w:val="000000"/>
                <w:lang w:eastAsia="hr-HR"/>
              </w:rPr>
            </w:pPr>
          </w:p>
        </w:tc>
        <w:tc>
          <w:tcPr>
            <w:tcW w:w="1134" w:type="dxa"/>
            <w:vMerge/>
            <w:tcBorders>
              <w:top w:val="nil"/>
              <w:left w:val="single" w:sz="8" w:space="0" w:color="auto"/>
              <w:bottom w:val="single" w:sz="8" w:space="0" w:color="000000"/>
              <w:right w:val="single" w:sz="8" w:space="0" w:color="auto"/>
            </w:tcBorders>
            <w:vAlign w:val="center"/>
            <w:hideMark/>
          </w:tcPr>
          <w:p w14:paraId="17B31612" w14:textId="77777777" w:rsidR="00BE5CC3" w:rsidRPr="009823F4" w:rsidRDefault="00BE5CC3" w:rsidP="00BE5CC3">
            <w:pPr>
              <w:spacing w:after="0" w:line="240" w:lineRule="auto"/>
              <w:jc w:val="left"/>
              <w:rPr>
                <w:rFonts w:eastAsia="Times New Roman"/>
                <w:b/>
                <w:bCs/>
                <w:color w:val="000000"/>
                <w:lang w:eastAsia="hr-HR"/>
              </w:rPr>
            </w:pPr>
          </w:p>
        </w:tc>
        <w:tc>
          <w:tcPr>
            <w:tcW w:w="1843" w:type="dxa"/>
            <w:tcBorders>
              <w:top w:val="nil"/>
              <w:left w:val="nil"/>
              <w:bottom w:val="single" w:sz="8" w:space="0" w:color="auto"/>
              <w:right w:val="single" w:sz="8" w:space="0" w:color="auto"/>
            </w:tcBorders>
            <w:vAlign w:val="center"/>
            <w:hideMark/>
          </w:tcPr>
          <w:p w14:paraId="4C627E64"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39.816.842,52</w:t>
            </w:r>
          </w:p>
        </w:tc>
        <w:tc>
          <w:tcPr>
            <w:tcW w:w="1985" w:type="dxa"/>
            <w:tcBorders>
              <w:top w:val="single" w:sz="8" w:space="0" w:color="auto"/>
              <w:left w:val="single" w:sz="8" w:space="0" w:color="auto"/>
              <w:bottom w:val="single" w:sz="8" w:space="0" w:color="auto"/>
              <w:right w:val="single" w:sz="8" w:space="0" w:color="auto"/>
            </w:tcBorders>
            <w:vAlign w:val="center"/>
            <w:hideMark/>
          </w:tcPr>
          <w:p w14:paraId="79979199" w14:textId="6DDCAE7D" w:rsidR="00BE5CC3" w:rsidRPr="009823F4" w:rsidRDefault="00BE5CC3" w:rsidP="00BE5CC3">
            <w:pPr>
              <w:spacing w:after="0" w:line="240" w:lineRule="auto"/>
              <w:jc w:val="center"/>
              <w:rPr>
                <w:rFonts w:eastAsia="Times New Roman"/>
                <w:b/>
                <w:bCs/>
                <w:color w:val="000000"/>
                <w:lang w:eastAsia="hr-HR"/>
              </w:rPr>
            </w:pPr>
            <w:r w:rsidRPr="00614608">
              <w:rPr>
                <w:b/>
                <w:bCs/>
                <w:color w:val="000000"/>
              </w:rPr>
              <w:t>179.561,27</w:t>
            </w:r>
          </w:p>
        </w:tc>
        <w:tc>
          <w:tcPr>
            <w:tcW w:w="2268" w:type="dxa"/>
            <w:tcBorders>
              <w:top w:val="nil"/>
              <w:left w:val="nil"/>
              <w:bottom w:val="single" w:sz="4" w:space="0" w:color="auto"/>
              <w:right w:val="single" w:sz="8" w:space="0" w:color="auto"/>
            </w:tcBorders>
            <w:vAlign w:val="center"/>
          </w:tcPr>
          <w:p w14:paraId="0251B354" w14:textId="1E5B0132" w:rsidR="00BE5CC3" w:rsidRPr="009823F4" w:rsidRDefault="00BE5CC3" w:rsidP="00BE5CC3">
            <w:pPr>
              <w:spacing w:after="0" w:line="240" w:lineRule="auto"/>
              <w:jc w:val="center"/>
              <w:rPr>
                <w:rFonts w:eastAsia="Times New Roman"/>
                <w:b/>
                <w:bCs/>
                <w:color w:val="000000"/>
                <w:lang w:eastAsia="hr-HR"/>
              </w:rPr>
            </w:pPr>
            <w:r w:rsidRPr="00614608">
              <w:rPr>
                <w:b/>
                <w:bCs/>
                <w:color w:val="000000"/>
              </w:rPr>
              <w:t>632.703,43</w:t>
            </w:r>
          </w:p>
        </w:tc>
        <w:tc>
          <w:tcPr>
            <w:tcW w:w="2268" w:type="dxa"/>
            <w:tcBorders>
              <w:top w:val="nil"/>
              <w:left w:val="nil"/>
              <w:bottom w:val="single" w:sz="8" w:space="0" w:color="auto"/>
              <w:right w:val="nil"/>
            </w:tcBorders>
            <w:vAlign w:val="center"/>
            <w:hideMark/>
          </w:tcPr>
          <w:p w14:paraId="46B9A187" w14:textId="7F873D90"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718.034,19</w:t>
            </w:r>
          </w:p>
        </w:tc>
        <w:tc>
          <w:tcPr>
            <w:tcW w:w="2126" w:type="dxa"/>
            <w:tcBorders>
              <w:top w:val="nil"/>
              <w:left w:val="single" w:sz="8" w:space="0" w:color="auto"/>
              <w:bottom w:val="single" w:sz="8" w:space="0" w:color="auto"/>
              <w:right w:val="single" w:sz="8" w:space="0" w:color="auto"/>
            </w:tcBorders>
            <w:vAlign w:val="center"/>
            <w:hideMark/>
          </w:tcPr>
          <w:p w14:paraId="5A769720"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1.530.298,89</w:t>
            </w:r>
          </w:p>
        </w:tc>
        <w:tc>
          <w:tcPr>
            <w:tcW w:w="2410" w:type="dxa"/>
            <w:tcBorders>
              <w:top w:val="nil"/>
              <w:left w:val="nil"/>
              <w:bottom w:val="single" w:sz="8" w:space="0" w:color="auto"/>
              <w:right w:val="single" w:sz="8" w:space="0" w:color="auto"/>
            </w:tcBorders>
            <w:vAlign w:val="center"/>
            <w:hideMark/>
          </w:tcPr>
          <w:p w14:paraId="129093B9"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38.286.543,63</w:t>
            </w:r>
          </w:p>
        </w:tc>
      </w:tr>
      <w:tr w:rsidR="00BE5CC3" w:rsidRPr="009823F4" w14:paraId="572DCB9E" w14:textId="77777777" w:rsidTr="00AF22F4">
        <w:trPr>
          <w:trHeight w:val="525"/>
          <w:jc w:val="center"/>
        </w:trPr>
        <w:tc>
          <w:tcPr>
            <w:tcW w:w="953" w:type="dxa"/>
            <w:vMerge/>
            <w:tcBorders>
              <w:top w:val="nil"/>
              <w:left w:val="single" w:sz="8" w:space="0" w:color="auto"/>
              <w:bottom w:val="single" w:sz="8" w:space="0" w:color="000000"/>
              <w:right w:val="single" w:sz="8" w:space="0" w:color="auto"/>
            </w:tcBorders>
            <w:vAlign w:val="center"/>
            <w:hideMark/>
          </w:tcPr>
          <w:p w14:paraId="789A9334" w14:textId="77777777" w:rsidR="00BE5CC3" w:rsidRPr="009823F4" w:rsidRDefault="00BE5CC3" w:rsidP="00BE5CC3">
            <w:pPr>
              <w:spacing w:after="0" w:line="240" w:lineRule="auto"/>
              <w:jc w:val="left"/>
              <w:rPr>
                <w:rFonts w:eastAsia="Times New Roman"/>
                <w:b/>
                <w:bCs/>
                <w:color w:val="000000"/>
                <w:sz w:val="20"/>
                <w:szCs w:val="20"/>
                <w:lang w:eastAsia="hr-HR"/>
              </w:rPr>
            </w:pPr>
          </w:p>
        </w:tc>
        <w:tc>
          <w:tcPr>
            <w:tcW w:w="1447" w:type="dxa"/>
            <w:vMerge/>
            <w:tcBorders>
              <w:top w:val="nil"/>
              <w:left w:val="single" w:sz="8" w:space="0" w:color="auto"/>
              <w:bottom w:val="single" w:sz="8" w:space="0" w:color="000000"/>
              <w:right w:val="single" w:sz="8" w:space="0" w:color="auto"/>
            </w:tcBorders>
            <w:vAlign w:val="center"/>
            <w:hideMark/>
          </w:tcPr>
          <w:p w14:paraId="5D0E3A09" w14:textId="77777777" w:rsidR="00BE5CC3" w:rsidRPr="009823F4" w:rsidRDefault="00BE5CC3" w:rsidP="00BE5CC3">
            <w:pPr>
              <w:spacing w:after="0" w:line="240" w:lineRule="auto"/>
              <w:jc w:val="left"/>
              <w:rPr>
                <w:rFonts w:eastAsia="Times New Roman"/>
                <w:b/>
                <w:bCs/>
                <w:color w:val="000000"/>
                <w:sz w:val="20"/>
                <w:szCs w:val="20"/>
                <w:lang w:eastAsia="hr-HR"/>
              </w:rPr>
            </w:pPr>
          </w:p>
        </w:tc>
        <w:tc>
          <w:tcPr>
            <w:tcW w:w="709" w:type="dxa"/>
            <w:tcBorders>
              <w:top w:val="nil"/>
              <w:left w:val="nil"/>
              <w:bottom w:val="single" w:sz="8" w:space="0" w:color="auto"/>
              <w:right w:val="single" w:sz="8" w:space="0" w:color="auto"/>
            </w:tcBorders>
            <w:vAlign w:val="center"/>
            <w:hideMark/>
          </w:tcPr>
          <w:p w14:paraId="05D546C3" w14:textId="77777777" w:rsidR="00BE5CC3" w:rsidRPr="009823F4" w:rsidRDefault="00BE5CC3" w:rsidP="00BE5CC3">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II</w:t>
            </w:r>
          </w:p>
        </w:tc>
        <w:tc>
          <w:tcPr>
            <w:tcW w:w="1701" w:type="dxa"/>
            <w:tcBorders>
              <w:top w:val="nil"/>
              <w:left w:val="nil"/>
              <w:bottom w:val="single" w:sz="8" w:space="0" w:color="auto"/>
              <w:right w:val="single" w:sz="8" w:space="0" w:color="auto"/>
            </w:tcBorders>
            <w:vAlign w:val="center"/>
            <w:hideMark/>
          </w:tcPr>
          <w:p w14:paraId="620851FF" w14:textId="77777777" w:rsidR="00BE5CC3" w:rsidRPr="009823F4" w:rsidRDefault="00BE5CC3" w:rsidP="00BE5CC3">
            <w:pPr>
              <w:spacing w:after="0" w:line="240" w:lineRule="auto"/>
              <w:rPr>
                <w:rFonts w:eastAsia="Times New Roman"/>
                <w:color w:val="000000"/>
                <w:sz w:val="20"/>
                <w:szCs w:val="20"/>
                <w:lang w:eastAsia="hr-HR"/>
              </w:rPr>
            </w:pPr>
            <w:r w:rsidRPr="009823F4">
              <w:rPr>
                <w:rFonts w:eastAsia="Times New Roman"/>
                <w:color w:val="000000"/>
                <w:sz w:val="20"/>
                <w:szCs w:val="20"/>
                <w:lang w:eastAsia="hr-HR"/>
              </w:rPr>
              <w:t>Istraživanje i inovacije</w:t>
            </w:r>
          </w:p>
        </w:tc>
        <w:tc>
          <w:tcPr>
            <w:tcW w:w="1984" w:type="dxa"/>
            <w:vMerge/>
            <w:tcBorders>
              <w:top w:val="nil"/>
              <w:left w:val="single" w:sz="8" w:space="0" w:color="auto"/>
              <w:bottom w:val="single" w:sz="8" w:space="0" w:color="000000"/>
              <w:right w:val="single" w:sz="8" w:space="0" w:color="auto"/>
            </w:tcBorders>
            <w:vAlign w:val="center"/>
            <w:hideMark/>
          </w:tcPr>
          <w:p w14:paraId="743E9573" w14:textId="77777777" w:rsidR="00BE5CC3" w:rsidRPr="009823F4" w:rsidRDefault="00BE5CC3" w:rsidP="00BE5CC3">
            <w:pPr>
              <w:spacing w:after="0" w:line="240" w:lineRule="auto"/>
              <w:jc w:val="left"/>
              <w:rPr>
                <w:rFonts w:eastAsia="Times New Roman"/>
                <w:b/>
                <w:bCs/>
                <w:color w:val="000000"/>
                <w:lang w:eastAsia="hr-HR"/>
              </w:rPr>
            </w:pPr>
          </w:p>
        </w:tc>
        <w:tc>
          <w:tcPr>
            <w:tcW w:w="1134" w:type="dxa"/>
            <w:vMerge/>
            <w:tcBorders>
              <w:top w:val="nil"/>
              <w:left w:val="single" w:sz="8" w:space="0" w:color="auto"/>
              <w:bottom w:val="single" w:sz="8" w:space="0" w:color="000000"/>
              <w:right w:val="single" w:sz="8" w:space="0" w:color="auto"/>
            </w:tcBorders>
            <w:vAlign w:val="center"/>
            <w:hideMark/>
          </w:tcPr>
          <w:p w14:paraId="1FF8599C" w14:textId="77777777" w:rsidR="00BE5CC3" w:rsidRPr="009823F4" w:rsidRDefault="00BE5CC3" w:rsidP="00BE5CC3">
            <w:pPr>
              <w:spacing w:after="0" w:line="240" w:lineRule="auto"/>
              <w:jc w:val="left"/>
              <w:rPr>
                <w:rFonts w:eastAsia="Times New Roman"/>
                <w:b/>
                <w:bCs/>
                <w:color w:val="000000"/>
                <w:lang w:eastAsia="hr-HR"/>
              </w:rPr>
            </w:pPr>
          </w:p>
        </w:tc>
        <w:tc>
          <w:tcPr>
            <w:tcW w:w="1843" w:type="dxa"/>
            <w:tcBorders>
              <w:top w:val="nil"/>
              <w:left w:val="nil"/>
              <w:bottom w:val="single" w:sz="8" w:space="0" w:color="auto"/>
              <w:right w:val="single" w:sz="8" w:space="0" w:color="auto"/>
            </w:tcBorders>
            <w:vAlign w:val="center"/>
            <w:hideMark/>
          </w:tcPr>
          <w:p w14:paraId="159280D4"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6.105.249,19</w:t>
            </w:r>
          </w:p>
        </w:tc>
        <w:tc>
          <w:tcPr>
            <w:tcW w:w="1985" w:type="dxa"/>
            <w:tcBorders>
              <w:top w:val="nil"/>
              <w:left w:val="single" w:sz="8" w:space="0" w:color="auto"/>
              <w:bottom w:val="single" w:sz="8" w:space="0" w:color="auto"/>
              <w:right w:val="single" w:sz="8" w:space="0" w:color="auto"/>
            </w:tcBorders>
            <w:vAlign w:val="center"/>
            <w:hideMark/>
          </w:tcPr>
          <w:p w14:paraId="3064FF9C" w14:textId="2BC62A2E" w:rsidR="00BE5CC3" w:rsidRPr="009823F4" w:rsidRDefault="00BE5CC3" w:rsidP="00BE5CC3">
            <w:pPr>
              <w:spacing w:after="0" w:line="240" w:lineRule="auto"/>
              <w:jc w:val="center"/>
              <w:rPr>
                <w:rFonts w:eastAsia="Times New Roman"/>
                <w:b/>
                <w:bCs/>
                <w:color w:val="000000"/>
                <w:lang w:eastAsia="hr-HR"/>
              </w:rPr>
            </w:pPr>
            <w:r w:rsidRPr="00614608">
              <w:rPr>
                <w:b/>
                <w:bCs/>
                <w:color w:val="000000"/>
              </w:rPr>
              <w:t>0,00</w:t>
            </w:r>
          </w:p>
        </w:tc>
        <w:tc>
          <w:tcPr>
            <w:tcW w:w="2268" w:type="dxa"/>
            <w:tcBorders>
              <w:top w:val="nil"/>
              <w:left w:val="nil"/>
              <w:bottom w:val="single" w:sz="8" w:space="0" w:color="auto"/>
              <w:right w:val="single" w:sz="8" w:space="0" w:color="auto"/>
            </w:tcBorders>
            <w:vAlign w:val="center"/>
          </w:tcPr>
          <w:p w14:paraId="65036C41" w14:textId="24498AD2" w:rsidR="00BE5CC3" w:rsidRPr="009823F4" w:rsidRDefault="00BE5CC3" w:rsidP="00BE5CC3">
            <w:pPr>
              <w:spacing w:after="0" w:line="240" w:lineRule="auto"/>
              <w:jc w:val="center"/>
              <w:rPr>
                <w:rFonts w:eastAsia="Times New Roman"/>
                <w:b/>
                <w:bCs/>
                <w:color w:val="000000"/>
                <w:lang w:eastAsia="hr-HR"/>
              </w:rPr>
            </w:pPr>
            <w:r w:rsidRPr="00614608">
              <w:rPr>
                <w:b/>
                <w:bCs/>
                <w:color w:val="000000"/>
              </w:rPr>
              <w:t>0,00</w:t>
            </w:r>
          </w:p>
        </w:tc>
        <w:tc>
          <w:tcPr>
            <w:tcW w:w="2268" w:type="dxa"/>
            <w:tcBorders>
              <w:top w:val="nil"/>
              <w:left w:val="nil"/>
              <w:bottom w:val="single" w:sz="8" w:space="0" w:color="auto"/>
              <w:right w:val="nil"/>
            </w:tcBorders>
            <w:vAlign w:val="center"/>
            <w:hideMark/>
          </w:tcPr>
          <w:p w14:paraId="2DAEDF29" w14:textId="1359544B"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161.007,57</w:t>
            </w:r>
          </w:p>
        </w:tc>
        <w:tc>
          <w:tcPr>
            <w:tcW w:w="2126" w:type="dxa"/>
            <w:tcBorders>
              <w:top w:val="nil"/>
              <w:left w:val="single" w:sz="8" w:space="0" w:color="auto"/>
              <w:bottom w:val="single" w:sz="8" w:space="0" w:color="auto"/>
              <w:right w:val="single" w:sz="8" w:space="0" w:color="auto"/>
            </w:tcBorders>
            <w:vAlign w:val="center"/>
            <w:hideMark/>
          </w:tcPr>
          <w:p w14:paraId="28B3F96B"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161.007,57</w:t>
            </w:r>
          </w:p>
        </w:tc>
        <w:tc>
          <w:tcPr>
            <w:tcW w:w="2410" w:type="dxa"/>
            <w:tcBorders>
              <w:top w:val="nil"/>
              <w:left w:val="nil"/>
              <w:bottom w:val="single" w:sz="8" w:space="0" w:color="auto"/>
              <w:right w:val="single" w:sz="8" w:space="0" w:color="auto"/>
            </w:tcBorders>
            <w:vAlign w:val="center"/>
            <w:hideMark/>
          </w:tcPr>
          <w:p w14:paraId="1B744954"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5.944.241,62</w:t>
            </w:r>
          </w:p>
        </w:tc>
      </w:tr>
      <w:tr w:rsidR="00BE5CC3" w:rsidRPr="009823F4" w14:paraId="0332EECB" w14:textId="77777777" w:rsidTr="00AF22F4">
        <w:trPr>
          <w:trHeight w:val="1290"/>
          <w:jc w:val="center"/>
        </w:trPr>
        <w:tc>
          <w:tcPr>
            <w:tcW w:w="953" w:type="dxa"/>
            <w:vMerge w:val="restart"/>
            <w:tcBorders>
              <w:top w:val="nil"/>
              <w:left w:val="single" w:sz="8" w:space="0" w:color="auto"/>
              <w:bottom w:val="single" w:sz="8" w:space="0" w:color="000000"/>
              <w:right w:val="single" w:sz="8" w:space="0" w:color="auto"/>
            </w:tcBorders>
            <w:vAlign w:val="center"/>
            <w:hideMark/>
          </w:tcPr>
          <w:p w14:paraId="12E95DC5" w14:textId="77777777" w:rsidR="00BE5CC3" w:rsidRPr="009823F4" w:rsidRDefault="00BE5CC3" w:rsidP="00BE5CC3">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NES/OT</w:t>
            </w:r>
          </w:p>
        </w:tc>
        <w:tc>
          <w:tcPr>
            <w:tcW w:w="1447" w:type="dxa"/>
            <w:vMerge w:val="restart"/>
            <w:tcBorders>
              <w:top w:val="nil"/>
              <w:left w:val="single" w:sz="8" w:space="0" w:color="auto"/>
              <w:bottom w:val="single" w:sz="8" w:space="0" w:color="000000"/>
              <w:right w:val="single" w:sz="8" w:space="0" w:color="auto"/>
            </w:tcBorders>
            <w:vAlign w:val="center"/>
            <w:hideMark/>
          </w:tcPr>
          <w:p w14:paraId="1DBEFB3A" w14:textId="77777777" w:rsidR="00BE5CC3" w:rsidRPr="009823F4" w:rsidRDefault="00BE5CC3" w:rsidP="00BE5CC3">
            <w:pPr>
              <w:spacing w:after="0" w:line="240" w:lineRule="auto"/>
              <w:jc w:val="left"/>
              <w:rPr>
                <w:rFonts w:eastAsia="Times New Roman"/>
                <w:b/>
                <w:bCs/>
                <w:color w:val="000000"/>
                <w:sz w:val="20"/>
                <w:szCs w:val="20"/>
                <w:lang w:eastAsia="hr-HR"/>
              </w:rPr>
            </w:pPr>
            <w:r w:rsidRPr="009823F4">
              <w:rPr>
                <w:rFonts w:eastAsia="Times New Roman"/>
                <w:b/>
                <w:bCs/>
                <w:color w:val="000000"/>
                <w:sz w:val="20"/>
                <w:szCs w:val="20"/>
                <w:lang w:eastAsia="hr-HR"/>
              </w:rPr>
              <w:t>Ukupno ne energetski sektor (uključujući sektor gospodarenja otpadom)</w:t>
            </w:r>
          </w:p>
        </w:tc>
        <w:tc>
          <w:tcPr>
            <w:tcW w:w="709" w:type="dxa"/>
            <w:tcBorders>
              <w:top w:val="nil"/>
              <w:left w:val="nil"/>
              <w:bottom w:val="single" w:sz="8" w:space="0" w:color="auto"/>
              <w:right w:val="single" w:sz="8" w:space="0" w:color="auto"/>
            </w:tcBorders>
            <w:vAlign w:val="center"/>
            <w:hideMark/>
          </w:tcPr>
          <w:p w14:paraId="42B89D70" w14:textId="77777777" w:rsidR="00BE5CC3" w:rsidRPr="009823F4" w:rsidRDefault="00BE5CC3" w:rsidP="00BE5CC3">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NES</w:t>
            </w:r>
          </w:p>
        </w:tc>
        <w:tc>
          <w:tcPr>
            <w:tcW w:w="1701" w:type="dxa"/>
            <w:tcBorders>
              <w:top w:val="nil"/>
              <w:left w:val="nil"/>
              <w:bottom w:val="single" w:sz="8" w:space="0" w:color="auto"/>
              <w:right w:val="single" w:sz="8" w:space="0" w:color="auto"/>
            </w:tcBorders>
            <w:vAlign w:val="center"/>
            <w:hideMark/>
          </w:tcPr>
          <w:p w14:paraId="3F7CA276" w14:textId="77777777" w:rsidR="00BE5CC3" w:rsidRPr="009823F4" w:rsidRDefault="00BE5CC3" w:rsidP="00BE5CC3">
            <w:pPr>
              <w:spacing w:after="0" w:line="240" w:lineRule="auto"/>
              <w:rPr>
                <w:rFonts w:eastAsia="Times New Roman"/>
                <w:color w:val="000000"/>
                <w:sz w:val="20"/>
                <w:szCs w:val="20"/>
                <w:lang w:eastAsia="hr-HR"/>
              </w:rPr>
            </w:pPr>
            <w:r w:rsidRPr="009823F4">
              <w:rPr>
                <w:rFonts w:eastAsia="Times New Roman"/>
                <w:color w:val="000000"/>
                <w:sz w:val="20"/>
                <w:szCs w:val="20"/>
                <w:lang w:eastAsia="hr-HR"/>
              </w:rPr>
              <w:t xml:space="preserve">Smanjenje emisija stakleničkih plinova u </w:t>
            </w:r>
            <w:proofErr w:type="spellStart"/>
            <w:r w:rsidRPr="009823F4">
              <w:rPr>
                <w:rFonts w:eastAsia="Times New Roman"/>
                <w:color w:val="000000"/>
                <w:sz w:val="20"/>
                <w:szCs w:val="20"/>
                <w:lang w:eastAsia="hr-HR"/>
              </w:rPr>
              <w:t>neenergetskom</w:t>
            </w:r>
            <w:proofErr w:type="spellEnd"/>
            <w:r w:rsidRPr="009823F4">
              <w:rPr>
                <w:rFonts w:eastAsia="Times New Roman"/>
                <w:color w:val="000000"/>
                <w:sz w:val="20"/>
                <w:szCs w:val="20"/>
                <w:lang w:eastAsia="hr-HR"/>
              </w:rPr>
              <w:t xml:space="preserve"> sektoru, uključujući industrijske procese</w:t>
            </w:r>
          </w:p>
        </w:tc>
        <w:tc>
          <w:tcPr>
            <w:tcW w:w="1984" w:type="dxa"/>
            <w:vMerge w:val="restart"/>
            <w:tcBorders>
              <w:top w:val="nil"/>
              <w:left w:val="single" w:sz="8" w:space="0" w:color="auto"/>
              <w:bottom w:val="single" w:sz="8" w:space="0" w:color="000000"/>
              <w:right w:val="single" w:sz="8" w:space="0" w:color="auto"/>
            </w:tcBorders>
            <w:vAlign w:val="center"/>
            <w:hideMark/>
          </w:tcPr>
          <w:p w14:paraId="2B715B5D"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53.105.686,77</w:t>
            </w:r>
          </w:p>
        </w:tc>
        <w:tc>
          <w:tcPr>
            <w:tcW w:w="1134" w:type="dxa"/>
            <w:vMerge w:val="restart"/>
            <w:tcBorders>
              <w:top w:val="nil"/>
              <w:left w:val="single" w:sz="8" w:space="0" w:color="auto"/>
              <w:bottom w:val="single" w:sz="8" w:space="0" w:color="000000"/>
              <w:right w:val="single" w:sz="8" w:space="0" w:color="auto"/>
            </w:tcBorders>
            <w:vAlign w:val="center"/>
            <w:hideMark/>
          </w:tcPr>
          <w:p w14:paraId="36CAD81A" w14:textId="7442A9A8"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8,56</w:t>
            </w:r>
            <w:r>
              <w:rPr>
                <w:rFonts w:eastAsia="Times New Roman"/>
                <w:b/>
                <w:bCs/>
                <w:color w:val="000000"/>
                <w:lang w:eastAsia="hr-HR"/>
              </w:rPr>
              <w:t xml:space="preserve"> </w:t>
            </w:r>
            <w:r w:rsidRPr="009823F4">
              <w:rPr>
                <w:rFonts w:eastAsia="Times New Roman"/>
                <w:b/>
                <w:bCs/>
                <w:color w:val="000000"/>
                <w:lang w:eastAsia="hr-HR"/>
              </w:rPr>
              <w:t>%</w:t>
            </w:r>
          </w:p>
        </w:tc>
        <w:tc>
          <w:tcPr>
            <w:tcW w:w="1843" w:type="dxa"/>
            <w:tcBorders>
              <w:top w:val="nil"/>
              <w:left w:val="nil"/>
              <w:bottom w:val="single" w:sz="8" w:space="0" w:color="auto"/>
              <w:right w:val="single" w:sz="8" w:space="0" w:color="auto"/>
            </w:tcBorders>
            <w:vAlign w:val="center"/>
            <w:hideMark/>
          </w:tcPr>
          <w:p w14:paraId="1ED124B4"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19.908.421,26</w:t>
            </w:r>
          </w:p>
        </w:tc>
        <w:tc>
          <w:tcPr>
            <w:tcW w:w="1985" w:type="dxa"/>
            <w:tcBorders>
              <w:top w:val="nil"/>
              <w:left w:val="single" w:sz="8" w:space="0" w:color="auto"/>
              <w:bottom w:val="single" w:sz="8" w:space="0" w:color="auto"/>
              <w:right w:val="single" w:sz="8" w:space="0" w:color="auto"/>
            </w:tcBorders>
            <w:vAlign w:val="center"/>
            <w:hideMark/>
          </w:tcPr>
          <w:p w14:paraId="5879DD43" w14:textId="60155EA9" w:rsidR="00BE5CC3" w:rsidRPr="009823F4" w:rsidRDefault="00BE5CC3" w:rsidP="00BE5CC3">
            <w:pPr>
              <w:spacing w:after="0" w:line="240" w:lineRule="auto"/>
              <w:jc w:val="center"/>
              <w:rPr>
                <w:rFonts w:eastAsia="Times New Roman"/>
                <w:b/>
                <w:bCs/>
                <w:color w:val="000000"/>
                <w:lang w:eastAsia="hr-HR"/>
              </w:rPr>
            </w:pPr>
            <w:r w:rsidRPr="00614608">
              <w:rPr>
                <w:b/>
                <w:bCs/>
                <w:color w:val="000000"/>
              </w:rPr>
              <w:t>32.226,37</w:t>
            </w:r>
          </w:p>
        </w:tc>
        <w:tc>
          <w:tcPr>
            <w:tcW w:w="2268" w:type="dxa"/>
            <w:tcBorders>
              <w:top w:val="nil"/>
              <w:left w:val="nil"/>
              <w:bottom w:val="single" w:sz="4" w:space="0" w:color="auto"/>
              <w:right w:val="single" w:sz="8" w:space="0" w:color="auto"/>
            </w:tcBorders>
            <w:vAlign w:val="center"/>
          </w:tcPr>
          <w:p w14:paraId="3C1C81C8" w14:textId="345F61D9" w:rsidR="00BE5CC3" w:rsidRPr="009823F4" w:rsidRDefault="00BE5CC3" w:rsidP="00BE5CC3">
            <w:pPr>
              <w:spacing w:after="0" w:line="240" w:lineRule="auto"/>
              <w:jc w:val="center"/>
              <w:rPr>
                <w:rFonts w:eastAsia="Times New Roman"/>
                <w:b/>
                <w:bCs/>
                <w:color w:val="000000"/>
                <w:lang w:eastAsia="hr-HR"/>
              </w:rPr>
            </w:pPr>
            <w:r w:rsidRPr="00614608">
              <w:rPr>
                <w:b/>
                <w:bCs/>
                <w:color w:val="000000"/>
              </w:rPr>
              <w:t>565.567,96</w:t>
            </w:r>
          </w:p>
        </w:tc>
        <w:tc>
          <w:tcPr>
            <w:tcW w:w="2268" w:type="dxa"/>
            <w:tcBorders>
              <w:top w:val="nil"/>
              <w:left w:val="nil"/>
              <w:bottom w:val="single" w:sz="8" w:space="0" w:color="auto"/>
              <w:right w:val="nil"/>
            </w:tcBorders>
            <w:vAlign w:val="center"/>
            <w:hideMark/>
          </w:tcPr>
          <w:p w14:paraId="562A454E" w14:textId="4F5CF47F"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2.109.202,51</w:t>
            </w:r>
          </w:p>
        </w:tc>
        <w:tc>
          <w:tcPr>
            <w:tcW w:w="2126" w:type="dxa"/>
            <w:tcBorders>
              <w:top w:val="nil"/>
              <w:left w:val="single" w:sz="8" w:space="0" w:color="auto"/>
              <w:bottom w:val="single" w:sz="8" w:space="0" w:color="auto"/>
              <w:right w:val="single" w:sz="8" w:space="0" w:color="auto"/>
            </w:tcBorders>
            <w:vAlign w:val="center"/>
            <w:hideMark/>
          </w:tcPr>
          <w:p w14:paraId="2EB1A5BE"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2.706.996,84</w:t>
            </w:r>
          </w:p>
        </w:tc>
        <w:tc>
          <w:tcPr>
            <w:tcW w:w="2410" w:type="dxa"/>
            <w:tcBorders>
              <w:top w:val="nil"/>
              <w:left w:val="nil"/>
              <w:bottom w:val="single" w:sz="8" w:space="0" w:color="auto"/>
              <w:right w:val="single" w:sz="8" w:space="0" w:color="auto"/>
            </w:tcBorders>
            <w:vAlign w:val="center"/>
            <w:hideMark/>
          </w:tcPr>
          <w:p w14:paraId="70302CC8"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17.201.424,42</w:t>
            </w:r>
          </w:p>
        </w:tc>
      </w:tr>
      <w:tr w:rsidR="00BE5CC3" w:rsidRPr="009823F4" w14:paraId="6C091481" w14:textId="77777777" w:rsidTr="00AF22F4">
        <w:trPr>
          <w:trHeight w:val="1290"/>
          <w:jc w:val="center"/>
        </w:trPr>
        <w:tc>
          <w:tcPr>
            <w:tcW w:w="953" w:type="dxa"/>
            <w:vMerge/>
            <w:tcBorders>
              <w:top w:val="nil"/>
              <w:left w:val="single" w:sz="8" w:space="0" w:color="auto"/>
              <w:bottom w:val="single" w:sz="8" w:space="0" w:color="000000"/>
              <w:right w:val="single" w:sz="8" w:space="0" w:color="auto"/>
            </w:tcBorders>
            <w:vAlign w:val="center"/>
            <w:hideMark/>
          </w:tcPr>
          <w:p w14:paraId="53FF9838" w14:textId="77777777" w:rsidR="00BE5CC3" w:rsidRPr="009823F4" w:rsidRDefault="00BE5CC3" w:rsidP="00BE5CC3">
            <w:pPr>
              <w:spacing w:after="0" w:line="240" w:lineRule="auto"/>
              <w:jc w:val="left"/>
              <w:rPr>
                <w:rFonts w:eastAsia="Times New Roman"/>
                <w:b/>
                <w:bCs/>
                <w:color w:val="000000"/>
                <w:sz w:val="20"/>
                <w:szCs w:val="20"/>
                <w:lang w:eastAsia="hr-HR"/>
              </w:rPr>
            </w:pPr>
          </w:p>
        </w:tc>
        <w:tc>
          <w:tcPr>
            <w:tcW w:w="1447" w:type="dxa"/>
            <w:vMerge/>
            <w:tcBorders>
              <w:top w:val="nil"/>
              <w:left w:val="single" w:sz="8" w:space="0" w:color="auto"/>
              <w:bottom w:val="single" w:sz="8" w:space="0" w:color="000000"/>
              <w:right w:val="single" w:sz="8" w:space="0" w:color="auto"/>
            </w:tcBorders>
            <w:vAlign w:val="center"/>
            <w:hideMark/>
          </w:tcPr>
          <w:p w14:paraId="0F7F7836" w14:textId="77777777" w:rsidR="00BE5CC3" w:rsidRPr="009823F4" w:rsidRDefault="00BE5CC3" w:rsidP="00BE5CC3">
            <w:pPr>
              <w:spacing w:after="0" w:line="240" w:lineRule="auto"/>
              <w:jc w:val="left"/>
              <w:rPr>
                <w:rFonts w:eastAsia="Times New Roman"/>
                <w:b/>
                <w:bCs/>
                <w:color w:val="000000"/>
                <w:sz w:val="20"/>
                <w:szCs w:val="20"/>
                <w:lang w:eastAsia="hr-HR"/>
              </w:rPr>
            </w:pPr>
          </w:p>
        </w:tc>
        <w:tc>
          <w:tcPr>
            <w:tcW w:w="709" w:type="dxa"/>
            <w:tcBorders>
              <w:top w:val="nil"/>
              <w:left w:val="nil"/>
              <w:bottom w:val="single" w:sz="8" w:space="0" w:color="auto"/>
              <w:right w:val="single" w:sz="8" w:space="0" w:color="auto"/>
            </w:tcBorders>
            <w:vAlign w:val="center"/>
            <w:hideMark/>
          </w:tcPr>
          <w:p w14:paraId="28336E42" w14:textId="77777777" w:rsidR="00BE5CC3" w:rsidRPr="009823F4" w:rsidRDefault="00BE5CC3" w:rsidP="00BE5CC3">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OT</w:t>
            </w:r>
          </w:p>
        </w:tc>
        <w:tc>
          <w:tcPr>
            <w:tcW w:w="1701" w:type="dxa"/>
            <w:tcBorders>
              <w:top w:val="nil"/>
              <w:left w:val="nil"/>
              <w:bottom w:val="single" w:sz="8" w:space="0" w:color="auto"/>
              <w:right w:val="single" w:sz="8" w:space="0" w:color="auto"/>
            </w:tcBorders>
            <w:vAlign w:val="center"/>
            <w:hideMark/>
          </w:tcPr>
          <w:p w14:paraId="5819AE1F" w14:textId="77777777" w:rsidR="00BE5CC3" w:rsidRPr="009823F4" w:rsidRDefault="00BE5CC3" w:rsidP="00BE5CC3">
            <w:pPr>
              <w:spacing w:after="0" w:line="240" w:lineRule="auto"/>
              <w:rPr>
                <w:rFonts w:eastAsia="Times New Roman"/>
                <w:color w:val="000000"/>
                <w:sz w:val="20"/>
                <w:szCs w:val="20"/>
                <w:lang w:eastAsia="hr-HR"/>
              </w:rPr>
            </w:pPr>
            <w:r w:rsidRPr="009823F4">
              <w:rPr>
                <w:rFonts w:eastAsia="Times New Roman"/>
                <w:color w:val="000000"/>
                <w:sz w:val="20"/>
                <w:szCs w:val="20"/>
                <w:lang w:eastAsia="hr-HR"/>
              </w:rPr>
              <w:t>Smanjenje emisija stakleničkih plinova u sektoru gospodarenja otpadom</w:t>
            </w:r>
          </w:p>
        </w:tc>
        <w:tc>
          <w:tcPr>
            <w:tcW w:w="1984" w:type="dxa"/>
            <w:vMerge/>
            <w:tcBorders>
              <w:top w:val="nil"/>
              <w:left w:val="single" w:sz="8" w:space="0" w:color="auto"/>
              <w:bottom w:val="single" w:sz="8" w:space="0" w:color="000000"/>
              <w:right w:val="single" w:sz="8" w:space="0" w:color="auto"/>
            </w:tcBorders>
            <w:vAlign w:val="center"/>
            <w:hideMark/>
          </w:tcPr>
          <w:p w14:paraId="6C39B46D" w14:textId="77777777" w:rsidR="00BE5CC3" w:rsidRPr="009823F4" w:rsidRDefault="00BE5CC3" w:rsidP="00BE5CC3">
            <w:pPr>
              <w:spacing w:after="0" w:line="240" w:lineRule="auto"/>
              <w:jc w:val="left"/>
              <w:rPr>
                <w:rFonts w:eastAsia="Times New Roman"/>
                <w:b/>
                <w:bCs/>
                <w:color w:val="000000"/>
                <w:lang w:eastAsia="hr-HR"/>
              </w:rPr>
            </w:pPr>
          </w:p>
        </w:tc>
        <w:tc>
          <w:tcPr>
            <w:tcW w:w="1134" w:type="dxa"/>
            <w:vMerge/>
            <w:tcBorders>
              <w:top w:val="nil"/>
              <w:left w:val="single" w:sz="8" w:space="0" w:color="auto"/>
              <w:bottom w:val="single" w:sz="8" w:space="0" w:color="000000"/>
              <w:right w:val="single" w:sz="8" w:space="0" w:color="auto"/>
            </w:tcBorders>
            <w:vAlign w:val="center"/>
            <w:hideMark/>
          </w:tcPr>
          <w:p w14:paraId="7CCB9947" w14:textId="77777777" w:rsidR="00BE5CC3" w:rsidRPr="009823F4" w:rsidRDefault="00BE5CC3" w:rsidP="00BE5CC3">
            <w:pPr>
              <w:spacing w:after="0" w:line="240" w:lineRule="auto"/>
              <w:jc w:val="left"/>
              <w:rPr>
                <w:rFonts w:eastAsia="Times New Roman"/>
                <w:b/>
                <w:bCs/>
                <w:color w:val="000000"/>
                <w:lang w:eastAsia="hr-HR"/>
              </w:rPr>
            </w:pPr>
          </w:p>
        </w:tc>
        <w:tc>
          <w:tcPr>
            <w:tcW w:w="1843" w:type="dxa"/>
            <w:tcBorders>
              <w:top w:val="nil"/>
              <w:left w:val="nil"/>
              <w:bottom w:val="single" w:sz="8" w:space="0" w:color="auto"/>
              <w:right w:val="single" w:sz="8" w:space="0" w:color="auto"/>
            </w:tcBorders>
            <w:vAlign w:val="center"/>
            <w:hideMark/>
          </w:tcPr>
          <w:p w14:paraId="29C43759"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33.197.265,51</w:t>
            </w:r>
          </w:p>
        </w:tc>
        <w:tc>
          <w:tcPr>
            <w:tcW w:w="1985" w:type="dxa"/>
            <w:tcBorders>
              <w:top w:val="nil"/>
              <w:left w:val="single" w:sz="8" w:space="0" w:color="auto"/>
              <w:bottom w:val="single" w:sz="8" w:space="0" w:color="auto"/>
              <w:right w:val="single" w:sz="8" w:space="0" w:color="auto"/>
            </w:tcBorders>
            <w:vAlign w:val="center"/>
            <w:hideMark/>
          </w:tcPr>
          <w:p w14:paraId="678C233A" w14:textId="0035C3C7" w:rsidR="00BE5CC3" w:rsidRPr="009823F4" w:rsidRDefault="00BE5CC3" w:rsidP="00BE5CC3">
            <w:pPr>
              <w:spacing w:after="0" w:line="240" w:lineRule="auto"/>
              <w:jc w:val="center"/>
              <w:rPr>
                <w:rFonts w:eastAsia="Times New Roman"/>
                <w:b/>
                <w:bCs/>
                <w:color w:val="000000"/>
                <w:lang w:eastAsia="hr-HR"/>
              </w:rPr>
            </w:pPr>
            <w:r w:rsidRPr="00614608">
              <w:rPr>
                <w:b/>
                <w:bCs/>
                <w:color w:val="000000"/>
              </w:rPr>
              <w:t>2.914.245,43</w:t>
            </w:r>
          </w:p>
        </w:tc>
        <w:tc>
          <w:tcPr>
            <w:tcW w:w="2268" w:type="dxa"/>
            <w:tcBorders>
              <w:top w:val="nil"/>
              <w:left w:val="nil"/>
              <w:bottom w:val="single" w:sz="8" w:space="0" w:color="auto"/>
              <w:right w:val="single" w:sz="8" w:space="0" w:color="auto"/>
            </w:tcBorders>
            <w:vAlign w:val="center"/>
          </w:tcPr>
          <w:p w14:paraId="4F422649" w14:textId="4A398737" w:rsidR="00BE5CC3" w:rsidRPr="009823F4" w:rsidRDefault="00BE5CC3" w:rsidP="00BE5CC3">
            <w:pPr>
              <w:spacing w:after="0" w:line="240" w:lineRule="auto"/>
              <w:jc w:val="center"/>
              <w:rPr>
                <w:rFonts w:eastAsia="Times New Roman"/>
                <w:b/>
                <w:bCs/>
                <w:color w:val="000000"/>
                <w:lang w:eastAsia="hr-HR"/>
              </w:rPr>
            </w:pPr>
            <w:r w:rsidRPr="00614608">
              <w:rPr>
                <w:b/>
                <w:bCs/>
                <w:color w:val="000000"/>
              </w:rPr>
              <w:t>3.296.102,78</w:t>
            </w:r>
          </w:p>
        </w:tc>
        <w:tc>
          <w:tcPr>
            <w:tcW w:w="2268" w:type="dxa"/>
            <w:tcBorders>
              <w:top w:val="nil"/>
              <w:left w:val="nil"/>
              <w:bottom w:val="single" w:sz="8" w:space="0" w:color="auto"/>
              <w:right w:val="nil"/>
            </w:tcBorders>
            <w:vAlign w:val="center"/>
            <w:hideMark/>
          </w:tcPr>
          <w:p w14:paraId="0630565E" w14:textId="2CABA0BC"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380.315,43</w:t>
            </w:r>
          </w:p>
        </w:tc>
        <w:tc>
          <w:tcPr>
            <w:tcW w:w="2126" w:type="dxa"/>
            <w:tcBorders>
              <w:top w:val="nil"/>
              <w:left w:val="single" w:sz="8" w:space="0" w:color="auto"/>
              <w:bottom w:val="single" w:sz="8" w:space="0" w:color="auto"/>
              <w:right w:val="single" w:sz="8" w:space="0" w:color="auto"/>
            </w:tcBorders>
            <w:vAlign w:val="center"/>
            <w:hideMark/>
          </w:tcPr>
          <w:p w14:paraId="076E1604"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6.590.663,64</w:t>
            </w:r>
          </w:p>
        </w:tc>
        <w:tc>
          <w:tcPr>
            <w:tcW w:w="2410" w:type="dxa"/>
            <w:tcBorders>
              <w:top w:val="nil"/>
              <w:left w:val="nil"/>
              <w:bottom w:val="single" w:sz="8" w:space="0" w:color="auto"/>
              <w:right w:val="single" w:sz="8" w:space="0" w:color="auto"/>
            </w:tcBorders>
            <w:vAlign w:val="center"/>
            <w:hideMark/>
          </w:tcPr>
          <w:p w14:paraId="254F3DF8"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26.606.601,87</w:t>
            </w:r>
          </w:p>
        </w:tc>
      </w:tr>
      <w:tr w:rsidR="00BE5CC3" w:rsidRPr="009823F4" w14:paraId="5D16D579" w14:textId="77777777" w:rsidTr="00AF22F4">
        <w:trPr>
          <w:trHeight w:val="495"/>
          <w:jc w:val="center"/>
        </w:trPr>
        <w:tc>
          <w:tcPr>
            <w:tcW w:w="953" w:type="dxa"/>
            <w:vMerge w:val="restart"/>
            <w:tcBorders>
              <w:top w:val="nil"/>
              <w:left w:val="single" w:sz="8" w:space="0" w:color="auto"/>
              <w:bottom w:val="single" w:sz="8" w:space="0" w:color="000000"/>
              <w:right w:val="single" w:sz="8" w:space="0" w:color="auto"/>
            </w:tcBorders>
            <w:vAlign w:val="center"/>
            <w:hideMark/>
          </w:tcPr>
          <w:p w14:paraId="336488A8" w14:textId="77777777" w:rsidR="00BE5CC3" w:rsidRPr="009823F4" w:rsidRDefault="00BE5CC3" w:rsidP="00BE5CC3">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PKP</w:t>
            </w:r>
          </w:p>
        </w:tc>
        <w:tc>
          <w:tcPr>
            <w:tcW w:w="1447" w:type="dxa"/>
            <w:vMerge w:val="restart"/>
            <w:tcBorders>
              <w:top w:val="nil"/>
              <w:left w:val="single" w:sz="8" w:space="0" w:color="auto"/>
              <w:bottom w:val="single" w:sz="8" w:space="0" w:color="000000"/>
              <w:right w:val="single" w:sz="8" w:space="0" w:color="auto"/>
            </w:tcBorders>
            <w:vAlign w:val="center"/>
            <w:hideMark/>
          </w:tcPr>
          <w:p w14:paraId="32DB6F2C" w14:textId="77777777" w:rsidR="00BE5CC3" w:rsidRPr="009823F4" w:rsidRDefault="00BE5CC3" w:rsidP="00BE5CC3">
            <w:pPr>
              <w:spacing w:after="0" w:line="240" w:lineRule="auto"/>
              <w:jc w:val="left"/>
              <w:rPr>
                <w:rFonts w:eastAsia="Times New Roman"/>
                <w:b/>
                <w:bCs/>
                <w:color w:val="000000"/>
                <w:sz w:val="20"/>
                <w:szCs w:val="20"/>
                <w:lang w:eastAsia="hr-HR"/>
              </w:rPr>
            </w:pPr>
            <w:r w:rsidRPr="009823F4">
              <w:rPr>
                <w:rFonts w:eastAsia="Times New Roman"/>
                <w:b/>
                <w:bCs/>
                <w:color w:val="000000"/>
                <w:sz w:val="20"/>
                <w:szCs w:val="20"/>
                <w:lang w:eastAsia="hr-HR"/>
              </w:rPr>
              <w:t>Prilagodba klimatskim promjenama</w:t>
            </w:r>
          </w:p>
        </w:tc>
        <w:tc>
          <w:tcPr>
            <w:tcW w:w="709" w:type="dxa"/>
            <w:tcBorders>
              <w:top w:val="nil"/>
              <w:left w:val="nil"/>
              <w:bottom w:val="single" w:sz="8" w:space="0" w:color="auto"/>
              <w:right w:val="single" w:sz="8" w:space="0" w:color="auto"/>
            </w:tcBorders>
            <w:vAlign w:val="center"/>
            <w:hideMark/>
          </w:tcPr>
          <w:p w14:paraId="2744B22B" w14:textId="77777777" w:rsidR="00BE5CC3" w:rsidRPr="009823F4" w:rsidRDefault="00BE5CC3" w:rsidP="00BE5CC3">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CK</w:t>
            </w:r>
          </w:p>
        </w:tc>
        <w:tc>
          <w:tcPr>
            <w:tcW w:w="1701" w:type="dxa"/>
            <w:tcBorders>
              <w:top w:val="nil"/>
              <w:left w:val="nil"/>
              <w:bottom w:val="single" w:sz="8" w:space="0" w:color="auto"/>
              <w:right w:val="single" w:sz="8" w:space="0" w:color="auto"/>
            </w:tcBorders>
            <w:vAlign w:val="center"/>
            <w:hideMark/>
          </w:tcPr>
          <w:p w14:paraId="1173E488" w14:textId="77777777" w:rsidR="00BE5CC3" w:rsidRPr="009823F4" w:rsidRDefault="00BE5CC3" w:rsidP="00BE5CC3">
            <w:pPr>
              <w:spacing w:after="0" w:line="240" w:lineRule="auto"/>
              <w:rPr>
                <w:rFonts w:eastAsia="Times New Roman"/>
                <w:color w:val="000000"/>
                <w:sz w:val="20"/>
                <w:szCs w:val="20"/>
                <w:lang w:eastAsia="hr-HR"/>
              </w:rPr>
            </w:pPr>
            <w:r w:rsidRPr="009823F4">
              <w:rPr>
                <w:rFonts w:eastAsia="Times New Roman"/>
                <w:color w:val="000000"/>
                <w:sz w:val="20"/>
                <w:szCs w:val="20"/>
                <w:lang w:eastAsia="hr-HR"/>
              </w:rPr>
              <w:t>Centar za klimu</w:t>
            </w:r>
          </w:p>
        </w:tc>
        <w:tc>
          <w:tcPr>
            <w:tcW w:w="1984" w:type="dxa"/>
            <w:vMerge w:val="restart"/>
            <w:tcBorders>
              <w:top w:val="nil"/>
              <w:left w:val="single" w:sz="8" w:space="0" w:color="auto"/>
              <w:bottom w:val="single" w:sz="8" w:space="0" w:color="000000"/>
              <w:right w:val="single" w:sz="8" w:space="0" w:color="auto"/>
            </w:tcBorders>
            <w:vAlign w:val="center"/>
            <w:hideMark/>
          </w:tcPr>
          <w:p w14:paraId="2612DEC5"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94.326.585,57</w:t>
            </w:r>
          </w:p>
        </w:tc>
        <w:tc>
          <w:tcPr>
            <w:tcW w:w="1134" w:type="dxa"/>
            <w:vMerge w:val="restart"/>
            <w:tcBorders>
              <w:top w:val="nil"/>
              <w:left w:val="single" w:sz="8" w:space="0" w:color="auto"/>
              <w:bottom w:val="single" w:sz="8" w:space="0" w:color="000000"/>
              <w:right w:val="single" w:sz="8" w:space="0" w:color="auto"/>
            </w:tcBorders>
            <w:vAlign w:val="center"/>
            <w:hideMark/>
          </w:tcPr>
          <w:p w14:paraId="3CF8E93C" w14:textId="39A6AEFE"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15,20</w:t>
            </w:r>
            <w:r>
              <w:rPr>
                <w:rFonts w:eastAsia="Times New Roman"/>
                <w:b/>
                <w:bCs/>
                <w:color w:val="000000"/>
                <w:lang w:eastAsia="hr-HR"/>
              </w:rPr>
              <w:t xml:space="preserve"> </w:t>
            </w:r>
            <w:r w:rsidRPr="009823F4">
              <w:rPr>
                <w:rFonts w:eastAsia="Times New Roman"/>
                <w:b/>
                <w:bCs/>
                <w:color w:val="000000"/>
                <w:lang w:eastAsia="hr-HR"/>
              </w:rPr>
              <w:t>%</w:t>
            </w:r>
          </w:p>
        </w:tc>
        <w:tc>
          <w:tcPr>
            <w:tcW w:w="1843" w:type="dxa"/>
            <w:tcBorders>
              <w:top w:val="nil"/>
              <w:left w:val="nil"/>
              <w:bottom w:val="single" w:sz="8" w:space="0" w:color="auto"/>
              <w:right w:val="single" w:sz="8" w:space="0" w:color="auto"/>
            </w:tcBorders>
            <w:vAlign w:val="center"/>
            <w:hideMark/>
          </w:tcPr>
          <w:p w14:paraId="34186915"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15.263.122,97</w:t>
            </w:r>
          </w:p>
        </w:tc>
        <w:tc>
          <w:tcPr>
            <w:tcW w:w="1985" w:type="dxa"/>
            <w:tcBorders>
              <w:top w:val="nil"/>
              <w:left w:val="single" w:sz="8" w:space="0" w:color="auto"/>
              <w:bottom w:val="single" w:sz="8" w:space="0" w:color="auto"/>
              <w:right w:val="single" w:sz="8" w:space="0" w:color="auto"/>
            </w:tcBorders>
            <w:vAlign w:val="center"/>
            <w:hideMark/>
          </w:tcPr>
          <w:p w14:paraId="27840CA4" w14:textId="20D58B43" w:rsidR="00BE5CC3" w:rsidRPr="009823F4" w:rsidRDefault="00BE5CC3" w:rsidP="00BE5CC3">
            <w:pPr>
              <w:spacing w:after="0" w:line="240" w:lineRule="auto"/>
              <w:jc w:val="center"/>
              <w:rPr>
                <w:rFonts w:eastAsia="Times New Roman"/>
                <w:b/>
                <w:bCs/>
                <w:color w:val="000000"/>
                <w:lang w:eastAsia="hr-HR"/>
              </w:rPr>
            </w:pPr>
            <w:r w:rsidRPr="00614608">
              <w:rPr>
                <w:b/>
                <w:bCs/>
                <w:color w:val="000000"/>
              </w:rPr>
              <w:t>0,00</w:t>
            </w:r>
          </w:p>
        </w:tc>
        <w:tc>
          <w:tcPr>
            <w:tcW w:w="2268" w:type="dxa"/>
            <w:tcBorders>
              <w:top w:val="nil"/>
              <w:left w:val="nil"/>
              <w:bottom w:val="single" w:sz="4" w:space="0" w:color="auto"/>
              <w:right w:val="single" w:sz="8" w:space="0" w:color="auto"/>
            </w:tcBorders>
            <w:vAlign w:val="center"/>
          </w:tcPr>
          <w:p w14:paraId="66962922" w14:textId="1C052A77" w:rsidR="00BE5CC3" w:rsidRPr="009823F4" w:rsidRDefault="00BE5CC3" w:rsidP="00BE5CC3">
            <w:pPr>
              <w:spacing w:after="0" w:line="240" w:lineRule="auto"/>
              <w:jc w:val="center"/>
              <w:rPr>
                <w:rFonts w:eastAsia="Times New Roman"/>
                <w:b/>
                <w:bCs/>
                <w:color w:val="000000"/>
                <w:lang w:eastAsia="hr-HR"/>
              </w:rPr>
            </w:pPr>
            <w:r w:rsidRPr="00614608">
              <w:rPr>
                <w:b/>
                <w:bCs/>
                <w:color w:val="000000"/>
              </w:rPr>
              <w:t>0,00</w:t>
            </w:r>
          </w:p>
        </w:tc>
        <w:tc>
          <w:tcPr>
            <w:tcW w:w="2268" w:type="dxa"/>
            <w:tcBorders>
              <w:top w:val="nil"/>
              <w:left w:val="nil"/>
              <w:bottom w:val="nil"/>
              <w:right w:val="nil"/>
            </w:tcBorders>
            <w:vAlign w:val="center"/>
            <w:hideMark/>
          </w:tcPr>
          <w:p w14:paraId="0FE5CA65" w14:textId="37C39E21"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0,00</w:t>
            </w:r>
          </w:p>
        </w:tc>
        <w:tc>
          <w:tcPr>
            <w:tcW w:w="2126" w:type="dxa"/>
            <w:tcBorders>
              <w:top w:val="nil"/>
              <w:left w:val="single" w:sz="8" w:space="0" w:color="auto"/>
              <w:bottom w:val="single" w:sz="8" w:space="0" w:color="auto"/>
              <w:right w:val="single" w:sz="8" w:space="0" w:color="auto"/>
            </w:tcBorders>
            <w:vAlign w:val="center"/>
            <w:hideMark/>
          </w:tcPr>
          <w:p w14:paraId="7D923DDC"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0,00</w:t>
            </w:r>
          </w:p>
        </w:tc>
        <w:tc>
          <w:tcPr>
            <w:tcW w:w="2410" w:type="dxa"/>
            <w:tcBorders>
              <w:top w:val="nil"/>
              <w:left w:val="nil"/>
              <w:bottom w:val="single" w:sz="8" w:space="0" w:color="auto"/>
              <w:right w:val="single" w:sz="8" w:space="0" w:color="auto"/>
            </w:tcBorders>
            <w:vAlign w:val="center"/>
            <w:hideMark/>
          </w:tcPr>
          <w:p w14:paraId="6E5C1176"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15.263.122,97</w:t>
            </w:r>
          </w:p>
        </w:tc>
      </w:tr>
      <w:tr w:rsidR="00BE5CC3" w:rsidRPr="009823F4" w14:paraId="04916580" w14:textId="77777777" w:rsidTr="00AF22F4">
        <w:trPr>
          <w:trHeight w:val="1035"/>
          <w:jc w:val="center"/>
        </w:trPr>
        <w:tc>
          <w:tcPr>
            <w:tcW w:w="953" w:type="dxa"/>
            <w:vMerge/>
            <w:tcBorders>
              <w:top w:val="nil"/>
              <w:left w:val="single" w:sz="8" w:space="0" w:color="auto"/>
              <w:bottom w:val="single" w:sz="8" w:space="0" w:color="000000"/>
              <w:right w:val="single" w:sz="8" w:space="0" w:color="auto"/>
            </w:tcBorders>
            <w:vAlign w:val="center"/>
            <w:hideMark/>
          </w:tcPr>
          <w:p w14:paraId="50087BAA" w14:textId="77777777" w:rsidR="00BE5CC3" w:rsidRPr="009823F4" w:rsidRDefault="00BE5CC3" w:rsidP="00BE5CC3">
            <w:pPr>
              <w:spacing w:after="0" w:line="240" w:lineRule="auto"/>
              <w:jc w:val="left"/>
              <w:rPr>
                <w:rFonts w:eastAsia="Times New Roman"/>
                <w:b/>
                <w:bCs/>
                <w:color w:val="000000"/>
                <w:sz w:val="20"/>
                <w:szCs w:val="20"/>
                <w:lang w:eastAsia="hr-HR"/>
              </w:rPr>
            </w:pPr>
          </w:p>
        </w:tc>
        <w:tc>
          <w:tcPr>
            <w:tcW w:w="1447" w:type="dxa"/>
            <w:vMerge/>
            <w:tcBorders>
              <w:top w:val="nil"/>
              <w:left w:val="single" w:sz="8" w:space="0" w:color="auto"/>
              <w:bottom w:val="single" w:sz="8" w:space="0" w:color="000000"/>
              <w:right w:val="single" w:sz="8" w:space="0" w:color="auto"/>
            </w:tcBorders>
            <w:vAlign w:val="center"/>
            <w:hideMark/>
          </w:tcPr>
          <w:p w14:paraId="707D1A7F" w14:textId="77777777" w:rsidR="00BE5CC3" w:rsidRPr="009823F4" w:rsidRDefault="00BE5CC3" w:rsidP="00BE5CC3">
            <w:pPr>
              <w:spacing w:after="0" w:line="240" w:lineRule="auto"/>
              <w:jc w:val="left"/>
              <w:rPr>
                <w:rFonts w:eastAsia="Times New Roman"/>
                <w:b/>
                <w:bCs/>
                <w:color w:val="000000"/>
                <w:sz w:val="20"/>
                <w:szCs w:val="20"/>
                <w:lang w:eastAsia="hr-HR"/>
              </w:rPr>
            </w:pPr>
          </w:p>
        </w:tc>
        <w:tc>
          <w:tcPr>
            <w:tcW w:w="709" w:type="dxa"/>
            <w:tcBorders>
              <w:top w:val="nil"/>
              <w:left w:val="nil"/>
              <w:bottom w:val="single" w:sz="8" w:space="0" w:color="auto"/>
              <w:right w:val="single" w:sz="8" w:space="0" w:color="auto"/>
            </w:tcBorders>
            <w:vAlign w:val="center"/>
            <w:hideMark/>
          </w:tcPr>
          <w:p w14:paraId="0A6E7001" w14:textId="77777777" w:rsidR="00BE5CC3" w:rsidRPr="009823F4" w:rsidRDefault="00BE5CC3" w:rsidP="00BE5CC3">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SPKP</w:t>
            </w:r>
          </w:p>
        </w:tc>
        <w:tc>
          <w:tcPr>
            <w:tcW w:w="1701" w:type="dxa"/>
            <w:tcBorders>
              <w:top w:val="nil"/>
              <w:left w:val="nil"/>
              <w:bottom w:val="single" w:sz="8" w:space="0" w:color="auto"/>
              <w:right w:val="single" w:sz="8" w:space="0" w:color="auto"/>
            </w:tcBorders>
            <w:vAlign w:val="center"/>
            <w:hideMark/>
          </w:tcPr>
          <w:p w14:paraId="49CB7F33" w14:textId="77777777" w:rsidR="00BE5CC3" w:rsidRPr="009823F4" w:rsidRDefault="00BE5CC3" w:rsidP="00BE5CC3">
            <w:pPr>
              <w:spacing w:after="0" w:line="240" w:lineRule="auto"/>
              <w:rPr>
                <w:rFonts w:eastAsia="Times New Roman"/>
                <w:color w:val="000000"/>
                <w:sz w:val="20"/>
                <w:szCs w:val="20"/>
                <w:lang w:eastAsia="hr-HR"/>
              </w:rPr>
            </w:pPr>
            <w:r w:rsidRPr="009823F4">
              <w:rPr>
                <w:rFonts w:eastAsia="Times New Roman"/>
                <w:color w:val="000000"/>
                <w:sz w:val="20"/>
                <w:szCs w:val="20"/>
                <w:lang w:eastAsia="hr-HR"/>
              </w:rPr>
              <w:t>Strategija prilagodbe klimatskim promjenama</w:t>
            </w:r>
          </w:p>
        </w:tc>
        <w:tc>
          <w:tcPr>
            <w:tcW w:w="1984" w:type="dxa"/>
            <w:vMerge/>
            <w:tcBorders>
              <w:top w:val="nil"/>
              <w:left w:val="single" w:sz="8" w:space="0" w:color="auto"/>
              <w:bottom w:val="single" w:sz="8" w:space="0" w:color="000000"/>
              <w:right w:val="single" w:sz="8" w:space="0" w:color="auto"/>
            </w:tcBorders>
            <w:vAlign w:val="center"/>
            <w:hideMark/>
          </w:tcPr>
          <w:p w14:paraId="1EDBA125" w14:textId="77777777" w:rsidR="00BE5CC3" w:rsidRPr="009823F4" w:rsidRDefault="00BE5CC3" w:rsidP="00BE5CC3">
            <w:pPr>
              <w:spacing w:after="0" w:line="240" w:lineRule="auto"/>
              <w:jc w:val="left"/>
              <w:rPr>
                <w:rFonts w:eastAsia="Times New Roman"/>
                <w:b/>
                <w:bCs/>
                <w:color w:val="000000"/>
                <w:lang w:eastAsia="hr-HR"/>
              </w:rPr>
            </w:pPr>
          </w:p>
        </w:tc>
        <w:tc>
          <w:tcPr>
            <w:tcW w:w="1134" w:type="dxa"/>
            <w:vMerge/>
            <w:tcBorders>
              <w:top w:val="nil"/>
              <w:left w:val="single" w:sz="8" w:space="0" w:color="auto"/>
              <w:bottom w:val="single" w:sz="8" w:space="0" w:color="000000"/>
              <w:right w:val="single" w:sz="8" w:space="0" w:color="auto"/>
            </w:tcBorders>
            <w:vAlign w:val="center"/>
            <w:hideMark/>
          </w:tcPr>
          <w:p w14:paraId="6AC1C535" w14:textId="77777777" w:rsidR="00BE5CC3" w:rsidRPr="009823F4" w:rsidRDefault="00BE5CC3" w:rsidP="00BE5CC3">
            <w:pPr>
              <w:spacing w:after="0" w:line="240" w:lineRule="auto"/>
              <w:jc w:val="left"/>
              <w:rPr>
                <w:rFonts w:eastAsia="Times New Roman"/>
                <w:b/>
                <w:bCs/>
                <w:color w:val="000000"/>
                <w:lang w:eastAsia="hr-HR"/>
              </w:rPr>
            </w:pPr>
          </w:p>
        </w:tc>
        <w:tc>
          <w:tcPr>
            <w:tcW w:w="1843" w:type="dxa"/>
            <w:tcBorders>
              <w:top w:val="nil"/>
              <w:left w:val="nil"/>
              <w:bottom w:val="single" w:sz="8" w:space="0" w:color="auto"/>
              <w:right w:val="single" w:sz="8" w:space="0" w:color="auto"/>
            </w:tcBorders>
            <w:vAlign w:val="center"/>
            <w:hideMark/>
          </w:tcPr>
          <w:p w14:paraId="26B76802"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60.482.269,42</w:t>
            </w:r>
          </w:p>
        </w:tc>
        <w:tc>
          <w:tcPr>
            <w:tcW w:w="1985" w:type="dxa"/>
            <w:tcBorders>
              <w:top w:val="nil"/>
              <w:left w:val="single" w:sz="8" w:space="0" w:color="auto"/>
              <w:bottom w:val="single" w:sz="8" w:space="0" w:color="auto"/>
              <w:right w:val="single" w:sz="8" w:space="0" w:color="auto"/>
            </w:tcBorders>
            <w:vAlign w:val="center"/>
            <w:hideMark/>
          </w:tcPr>
          <w:p w14:paraId="651DE1D3" w14:textId="76E86E0B" w:rsidR="00BE5CC3" w:rsidRPr="009823F4" w:rsidRDefault="00BE5CC3" w:rsidP="00BE5CC3">
            <w:pPr>
              <w:spacing w:after="0" w:line="240" w:lineRule="auto"/>
              <w:jc w:val="center"/>
              <w:rPr>
                <w:rFonts w:eastAsia="Times New Roman"/>
                <w:b/>
                <w:bCs/>
                <w:color w:val="000000"/>
                <w:lang w:eastAsia="hr-HR"/>
              </w:rPr>
            </w:pPr>
            <w:r w:rsidRPr="00614608">
              <w:rPr>
                <w:b/>
                <w:bCs/>
                <w:color w:val="000000"/>
              </w:rPr>
              <w:t>203.976,38</w:t>
            </w:r>
          </w:p>
        </w:tc>
        <w:tc>
          <w:tcPr>
            <w:tcW w:w="2268" w:type="dxa"/>
            <w:tcBorders>
              <w:top w:val="nil"/>
              <w:left w:val="nil"/>
              <w:bottom w:val="single" w:sz="4" w:space="0" w:color="auto"/>
              <w:right w:val="single" w:sz="8" w:space="0" w:color="auto"/>
            </w:tcBorders>
            <w:vAlign w:val="center"/>
          </w:tcPr>
          <w:p w14:paraId="1DCF3503" w14:textId="0D3AD6C6" w:rsidR="00BE5CC3" w:rsidRPr="009823F4" w:rsidRDefault="00BE5CC3" w:rsidP="00BE5CC3">
            <w:pPr>
              <w:spacing w:after="0" w:line="240" w:lineRule="auto"/>
              <w:jc w:val="center"/>
              <w:rPr>
                <w:rFonts w:eastAsia="Times New Roman"/>
                <w:b/>
                <w:bCs/>
                <w:color w:val="000000"/>
                <w:lang w:eastAsia="hr-HR"/>
              </w:rPr>
            </w:pPr>
            <w:r w:rsidRPr="00614608">
              <w:rPr>
                <w:b/>
                <w:bCs/>
                <w:color w:val="000000"/>
              </w:rPr>
              <w:t>1.495.940,86</w:t>
            </w:r>
          </w:p>
        </w:tc>
        <w:tc>
          <w:tcPr>
            <w:tcW w:w="2268" w:type="dxa"/>
            <w:tcBorders>
              <w:top w:val="single" w:sz="8" w:space="0" w:color="auto"/>
              <w:left w:val="nil"/>
              <w:bottom w:val="single" w:sz="8" w:space="0" w:color="auto"/>
              <w:right w:val="single" w:sz="8" w:space="0" w:color="auto"/>
            </w:tcBorders>
            <w:vAlign w:val="center"/>
            <w:hideMark/>
          </w:tcPr>
          <w:p w14:paraId="466D5855" w14:textId="29B4F2B1"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5.329.336,16</w:t>
            </w:r>
          </w:p>
        </w:tc>
        <w:tc>
          <w:tcPr>
            <w:tcW w:w="2126" w:type="dxa"/>
            <w:tcBorders>
              <w:top w:val="nil"/>
              <w:left w:val="nil"/>
              <w:bottom w:val="single" w:sz="8" w:space="0" w:color="auto"/>
              <w:right w:val="single" w:sz="8" w:space="0" w:color="auto"/>
            </w:tcBorders>
            <w:vAlign w:val="center"/>
            <w:hideMark/>
          </w:tcPr>
          <w:p w14:paraId="6BE2984E"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7.029.253,40</w:t>
            </w:r>
          </w:p>
        </w:tc>
        <w:tc>
          <w:tcPr>
            <w:tcW w:w="2410" w:type="dxa"/>
            <w:tcBorders>
              <w:top w:val="nil"/>
              <w:left w:val="nil"/>
              <w:bottom w:val="single" w:sz="8" w:space="0" w:color="auto"/>
              <w:right w:val="single" w:sz="8" w:space="0" w:color="auto"/>
            </w:tcBorders>
            <w:vAlign w:val="center"/>
            <w:hideMark/>
          </w:tcPr>
          <w:p w14:paraId="6EF9E9F6"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53.453.016,02</w:t>
            </w:r>
          </w:p>
        </w:tc>
      </w:tr>
      <w:tr w:rsidR="00BE5CC3" w:rsidRPr="009823F4" w14:paraId="6B28055F" w14:textId="77777777" w:rsidTr="00AF22F4">
        <w:trPr>
          <w:trHeight w:val="525"/>
          <w:jc w:val="center"/>
        </w:trPr>
        <w:tc>
          <w:tcPr>
            <w:tcW w:w="953" w:type="dxa"/>
            <w:vMerge/>
            <w:tcBorders>
              <w:top w:val="nil"/>
              <w:left w:val="single" w:sz="8" w:space="0" w:color="auto"/>
              <w:bottom w:val="single" w:sz="8" w:space="0" w:color="000000"/>
              <w:right w:val="single" w:sz="8" w:space="0" w:color="auto"/>
            </w:tcBorders>
            <w:vAlign w:val="center"/>
            <w:hideMark/>
          </w:tcPr>
          <w:p w14:paraId="58EF9EF7" w14:textId="77777777" w:rsidR="00BE5CC3" w:rsidRPr="009823F4" w:rsidRDefault="00BE5CC3" w:rsidP="00BE5CC3">
            <w:pPr>
              <w:spacing w:after="0" w:line="240" w:lineRule="auto"/>
              <w:jc w:val="left"/>
              <w:rPr>
                <w:rFonts w:eastAsia="Times New Roman"/>
                <w:b/>
                <w:bCs/>
                <w:color w:val="000000"/>
                <w:sz w:val="20"/>
                <w:szCs w:val="20"/>
                <w:lang w:eastAsia="hr-HR"/>
              </w:rPr>
            </w:pPr>
          </w:p>
        </w:tc>
        <w:tc>
          <w:tcPr>
            <w:tcW w:w="1447" w:type="dxa"/>
            <w:vMerge/>
            <w:tcBorders>
              <w:top w:val="nil"/>
              <w:left w:val="single" w:sz="8" w:space="0" w:color="auto"/>
              <w:bottom w:val="single" w:sz="8" w:space="0" w:color="000000"/>
              <w:right w:val="single" w:sz="8" w:space="0" w:color="auto"/>
            </w:tcBorders>
            <w:vAlign w:val="center"/>
            <w:hideMark/>
          </w:tcPr>
          <w:p w14:paraId="7BB23DCC" w14:textId="77777777" w:rsidR="00BE5CC3" w:rsidRPr="009823F4" w:rsidRDefault="00BE5CC3" w:rsidP="00BE5CC3">
            <w:pPr>
              <w:spacing w:after="0" w:line="240" w:lineRule="auto"/>
              <w:jc w:val="left"/>
              <w:rPr>
                <w:rFonts w:eastAsia="Times New Roman"/>
                <w:b/>
                <w:bCs/>
                <w:color w:val="000000"/>
                <w:sz w:val="20"/>
                <w:szCs w:val="20"/>
                <w:lang w:eastAsia="hr-HR"/>
              </w:rPr>
            </w:pPr>
          </w:p>
        </w:tc>
        <w:tc>
          <w:tcPr>
            <w:tcW w:w="709" w:type="dxa"/>
            <w:tcBorders>
              <w:top w:val="nil"/>
              <w:left w:val="nil"/>
              <w:bottom w:val="single" w:sz="8" w:space="0" w:color="auto"/>
              <w:right w:val="single" w:sz="8" w:space="0" w:color="auto"/>
            </w:tcBorders>
            <w:vAlign w:val="center"/>
            <w:hideMark/>
          </w:tcPr>
          <w:p w14:paraId="7FF9B3AA" w14:textId="77777777" w:rsidR="00BE5CC3" w:rsidRPr="009823F4" w:rsidRDefault="00BE5CC3" w:rsidP="00BE5CC3">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BIO</w:t>
            </w:r>
          </w:p>
        </w:tc>
        <w:tc>
          <w:tcPr>
            <w:tcW w:w="1701" w:type="dxa"/>
            <w:tcBorders>
              <w:top w:val="nil"/>
              <w:left w:val="nil"/>
              <w:bottom w:val="single" w:sz="8" w:space="0" w:color="auto"/>
              <w:right w:val="single" w:sz="8" w:space="0" w:color="auto"/>
            </w:tcBorders>
            <w:vAlign w:val="center"/>
            <w:hideMark/>
          </w:tcPr>
          <w:p w14:paraId="296E8B01" w14:textId="77777777" w:rsidR="00BE5CC3" w:rsidRPr="009823F4" w:rsidRDefault="00BE5CC3" w:rsidP="00BE5CC3">
            <w:pPr>
              <w:spacing w:after="0" w:line="240" w:lineRule="auto"/>
              <w:rPr>
                <w:rFonts w:eastAsia="Times New Roman"/>
                <w:color w:val="000000"/>
                <w:sz w:val="20"/>
                <w:szCs w:val="20"/>
                <w:lang w:eastAsia="hr-HR"/>
              </w:rPr>
            </w:pPr>
            <w:r w:rsidRPr="009823F4">
              <w:rPr>
                <w:rFonts w:eastAsia="Times New Roman"/>
                <w:color w:val="000000"/>
                <w:sz w:val="20"/>
                <w:szCs w:val="20"/>
                <w:lang w:eastAsia="hr-HR"/>
              </w:rPr>
              <w:t>Bioraznolikost i usluge ekosustava</w:t>
            </w:r>
          </w:p>
        </w:tc>
        <w:tc>
          <w:tcPr>
            <w:tcW w:w="1984" w:type="dxa"/>
            <w:vMerge/>
            <w:tcBorders>
              <w:top w:val="nil"/>
              <w:left w:val="single" w:sz="8" w:space="0" w:color="auto"/>
              <w:bottom w:val="single" w:sz="8" w:space="0" w:color="000000"/>
              <w:right w:val="single" w:sz="8" w:space="0" w:color="auto"/>
            </w:tcBorders>
            <w:vAlign w:val="center"/>
            <w:hideMark/>
          </w:tcPr>
          <w:p w14:paraId="10D75DCA" w14:textId="77777777" w:rsidR="00BE5CC3" w:rsidRPr="009823F4" w:rsidRDefault="00BE5CC3" w:rsidP="00BE5CC3">
            <w:pPr>
              <w:spacing w:after="0" w:line="240" w:lineRule="auto"/>
              <w:jc w:val="left"/>
              <w:rPr>
                <w:rFonts w:eastAsia="Times New Roman"/>
                <w:b/>
                <w:bCs/>
                <w:color w:val="000000"/>
                <w:lang w:eastAsia="hr-HR"/>
              </w:rPr>
            </w:pPr>
          </w:p>
        </w:tc>
        <w:tc>
          <w:tcPr>
            <w:tcW w:w="1134" w:type="dxa"/>
            <w:vMerge/>
            <w:tcBorders>
              <w:top w:val="nil"/>
              <w:left w:val="single" w:sz="8" w:space="0" w:color="auto"/>
              <w:bottom w:val="single" w:sz="8" w:space="0" w:color="000000"/>
              <w:right w:val="single" w:sz="8" w:space="0" w:color="auto"/>
            </w:tcBorders>
            <w:vAlign w:val="center"/>
            <w:hideMark/>
          </w:tcPr>
          <w:p w14:paraId="3135B93E" w14:textId="77777777" w:rsidR="00BE5CC3" w:rsidRPr="009823F4" w:rsidRDefault="00BE5CC3" w:rsidP="00BE5CC3">
            <w:pPr>
              <w:spacing w:after="0" w:line="240" w:lineRule="auto"/>
              <w:jc w:val="left"/>
              <w:rPr>
                <w:rFonts w:eastAsia="Times New Roman"/>
                <w:b/>
                <w:bCs/>
                <w:color w:val="000000"/>
                <w:lang w:eastAsia="hr-HR"/>
              </w:rPr>
            </w:pPr>
          </w:p>
        </w:tc>
        <w:tc>
          <w:tcPr>
            <w:tcW w:w="1843" w:type="dxa"/>
            <w:tcBorders>
              <w:top w:val="nil"/>
              <w:left w:val="nil"/>
              <w:bottom w:val="single" w:sz="8" w:space="0" w:color="auto"/>
              <w:right w:val="single" w:sz="8" w:space="0" w:color="auto"/>
            </w:tcBorders>
            <w:vAlign w:val="center"/>
            <w:hideMark/>
          </w:tcPr>
          <w:p w14:paraId="75105577"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18.581.193,18</w:t>
            </w:r>
          </w:p>
        </w:tc>
        <w:tc>
          <w:tcPr>
            <w:tcW w:w="1985" w:type="dxa"/>
            <w:tcBorders>
              <w:top w:val="nil"/>
              <w:left w:val="single" w:sz="8" w:space="0" w:color="auto"/>
              <w:bottom w:val="single" w:sz="8" w:space="0" w:color="auto"/>
              <w:right w:val="single" w:sz="8" w:space="0" w:color="auto"/>
            </w:tcBorders>
            <w:vAlign w:val="center"/>
            <w:hideMark/>
          </w:tcPr>
          <w:p w14:paraId="0EAB9D2F" w14:textId="22047631" w:rsidR="00BE5CC3" w:rsidRPr="009823F4" w:rsidRDefault="00BE5CC3" w:rsidP="00BE5CC3">
            <w:pPr>
              <w:spacing w:after="0" w:line="240" w:lineRule="auto"/>
              <w:jc w:val="center"/>
              <w:rPr>
                <w:rFonts w:eastAsia="Times New Roman"/>
                <w:b/>
                <w:bCs/>
                <w:color w:val="000000"/>
                <w:lang w:eastAsia="hr-HR"/>
              </w:rPr>
            </w:pPr>
            <w:r w:rsidRPr="00614608">
              <w:rPr>
                <w:b/>
                <w:bCs/>
                <w:color w:val="000000"/>
              </w:rPr>
              <w:t>879.953,03</w:t>
            </w:r>
          </w:p>
        </w:tc>
        <w:tc>
          <w:tcPr>
            <w:tcW w:w="2268" w:type="dxa"/>
            <w:tcBorders>
              <w:top w:val="nil"/>
              <w:left w:val="nil"/>
              <w:bottom w:val="single" w:sz="8" w:space="0" w:color="auto"/>
              <w:right w:val="single" w:sz="8" w:space="0" w:color="auto"/>
            </w:tcBorders>
            <w:vAlign w:val="center"/>
          </w:tcPr>
          <w:p w14:paraId="529DB1F9" w14:textId="254E1E9B" w:rsidR="00BE5CC3" w:rsidRPr="009823F4" w:rsidRDefault="00BE5CC3" w:rsidP="00BE5CC3">
            <w:pPr>
              <w:spacing w:after="0" w:line="240" w:lineRule="auto"/>
              <w:jc w:val="center"/>
              <w:rPr>
                <w:rFonts w:eastAsia="Times New Roman"/>
                <w:b/>
                <w:bCs/>
                <w:color w:val="000000"/>
                <w:lang w:eastAsia="hr-HR"/>
              </w:rPr>
            </w:pPr>
            <w:r w:rsidRPr="00614608">
              <w:rPr>
                <w:b/>
                <w:bCs/>
                <w:color w:val="000000"/>
              </w:rPr>
              <w:t>1.590.969,89</w:t>
            </w:r>
          </w:p>
        </w:tc>
        <w:tc>
          <w:tcPr>
            <w:tcW w:w="2268" w:type="dxa"/>
            <w:tcBorders>
              <w:top w:val="nil"/>
              <w:left w:val="nil"/>
              <w:bottom w:val="single" w:sz="8" w:space="0" w:color="auto"/>
              <w:right w:val="single" w:sz="8" w:space="0" w:color="auto"/>
            </w:tcBorders>
            <w:vAlign w:val="center"/>
            <w:hideMark/>
          </w:tcPr>
          <w:p w14:paraId="68B9DDBA" w14:textId="31317D39"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1.965.890,36</w:t>
            </w:r>
          </w:p>
        </w:tc>
        <w:tc>
          <w:tcPr>
            <w:tcW w:w="2126" w:type="dxa"/>
            <w:tcBorders>
              <w:top w:val="nil"/>
              <w:left w:val="nil"/>
              <w:bottom w:val="single" w:sz="8" w:space="0" w:color="auto"/>
              <w:right w:val="single" w:sz="8" w:space="0" w:color="auto"/>
            </w:tcBorders>
            <w:vAlign w:val="center"/>
            <w:hideMark/>
          </w:tcPr>
          <w:p w14:paraId="3D7C179D"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4.436.813,28</w:t>
            </w:r>
          </w:p>
        </w:tc>
        <w:tc>
          <w:tcPr>
            <w:tcW w:w="2410" w:type="dxa"/>
            <w:tcBorders>
              <w:top w:val="nil"/>
              <w:left w:val="nil"/>
              <w:bottom w:val="single" w:sz="8" w:space="0" w:color="auto"/>
              <w:right w:val="single" w:sz="8" w:space="0" w:color="auto"/>
            </w:tcBorders>
            <w:vAlign w:val="center"/>
            <w:hideMark/>
          </w:tcPr>
          <w:p w14:paraId="5CA2C337"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14.144.379,90</w:t>
            </w:r>
          </w:p>
        </w:tc>
      </w:tr>
      <w:tr w:rsidR="00BE5CC3" w:rsidRPr="009823F4" w14:paraId="53616DB7" w14:textId="77777777" w:rsidTr="00AF22F4">
        <w:trPr>
          <w:trHeight w:val="525"/>
          <w:jc w:val="center"/>
        </w:trPr>
        <w:tc>
          <w:tcPr>
            <w:tcW w:w="953" w:type="dxa"/>
            <w:vMerge w:val="restart"/>
            <w:tcBorders>
              <w:top w:val="nil"/>
              <w:left w:val="single" w:sz="8" w:space="0" w:color="auto"/>
              <w:bottom w:val="single" w:sz="8" w:space="0" w:color="000000"/>
              <w:right w:val="single" w:sz="8" w:space="0" w:color="auto"/>
            </w:tcBorders>
            <w:vAlign w:val="center"/>
            <w:hideMark/>
          </w:tcPr>
          <w:p w14:paraId="7962F908" w14:textId="77777777" w:rsidR="00BE5CC3" w:rsidRPr="009823F4" w:rsidRDefault="00BE5CC3" w:rsidP="00BE5CC3">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IR</w:t>
            </w:r>
          </w:p>
        </w:tc>
        <w:tc>
          <w:tcPr>
            <w:tcW w:w="1447" w:type="dxa"/>
            <w:vMerge w:val="restart"/>
            <w:tcBorders>
              <w:top w:val="nil"/>
              <w:left w:val="single" w:sz="8" w:space="0" w:color="auto"/>
              <w:bottom w:val="single" w:sz="8" w:space="0" w:color="000000"/>
              <w:right w:val="single" w:sz="8" w:space="0" w:color="auto"/>
            </w:tcBorders>
            <w:vAlign w:val="center"/>
            <w:hideMark/>
          </w:tcPr>
          <w:p w14:paraId="64F89AEB" w14:textId="77777777" w:rsidR="00BE5CC3" w:rsidRPr="009823F4" w:rsidRDefault="00BE5CC3" w:rsidP="00BE5CC3">
            <w:pPr>
              <w:spacing w:after="0" w:line="240" w:lineRule="auto"/>
              <w:jc w:val="left"/>
              <w:rPr>
                <w:rFonts w:eastAsia="Times New Roman"/>
                <w:b/>
                <w:bCs/>
                <w:color w:val="000000"/>
                <w:sz w:val="20"/>
                <w:szCs w:val="20"/>
                <w:lang w:eastAsia="hr-HR"/>
              </w:rPr>
            </w:pPr>
            <w:r w:rsidRPr="009823F4">
              <w:rPr>
                <w:rFonts w:eastAsia="Times New Roman"/>
                <w:b/>
                <w:bCs/>
                <w:color w:val="000000"/>
                <w:sz w:val="20"/>
                <w:szCs w:val="20"/>
                <w:lang w:eastAsia="hr-HR"/>
              </w:rPr>
              <w:t>Istraživanje i razvoj, stručna podrška i projekti s trećim zemljama</w:t>
            </w:r>
          </w:p>
        </w:tc>
        <w:tc>
          <w:tcPr>
            <w:tcW w:w="709" w:type="dxa"/>
            <w:tcBorders>
              <w:top w:val="nil"/>
              <w:left w:val="nil"/>
              <w:bottom w:val="single" w:sz="8" w:space="0" w:color="auto"/>
              <w:right w:val="single" w:sz="8" w:space="0" w:color="auto"/>
            </w:tcBorders>
            <w:vAlign w:val="center"/>
            <w:hideMark/>
          </w:tcPr>
          <w:p w14:paraId="305C22AE" w14:textId="77777777" w:rsidR="00BE5CC3" w:rsidRPr="009823F4" w:rsidRDefault="00BE5CC3" w:rsidP="00BE5CC3">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IRSP</w:t>
            </w:r>
          </w:p>
        </w:tc>
        <w:tc>
          <w:tcPr>
            <w:tcW w:w="1701" w:type="dxa"/>
            <w:tcBorders>
              <w:top w:val="nil"/>
              <w:left w:val="nil"/>
              <w:bottom w:val="single" w:sz="8" w:space="0" w:color="auto"/>
              <w:right w:val="single" w:sz="8" w:space="0" w:color="auto"/>
            </w:tcBorders>
            <w:vAlign w:val="center"/>
            <w:hideMark/>
          </w:tcPr>
          <w:p w14:paraId="59AB49F9" w14:textId="77777777" w:rsidR="00BE5CC3" w:rsidRPr="009823F4" w:rsidRDefault="00BE5CC3" w:rsidP="00BE5CC3">
            <w:pPr>
              <w:spacing w:after="0" w:line="240" w:lineRule="auto"/>
              <w:rPr>
                <w:rFonts w:eastAsia="Times New Roman"/>
                <w:color w:val="000000"/>
                <w:sz w:val="20"/>
                <w:szCs w:val="20"/>
                <w:lang w:eastAsia="hr-HR"/>
              </w:rPr>
            </w:pPr>
            <w:r w:rsidRPr="009823F4">
              <w:rPr>
                <w:rFonts w:eastAsia="Times New Roman"/>
                <w:color w:val="000000"/>
                <w:sz w:val="20"/>
                <w:szCs w:val="20"/>
                <w:lang w:eastAsia="hr-HR"/>
              </w:rPr>
              <w:t>Istraživanje i razvoj, stručna podrška</w:t>
            </w:r>
          </w:p>
        </w:tc>
        <w:tc>
          <w:tcPr>
            <w:tcW w:w="1984" w:type="dxa"/>
            <w:vMerge w:val="restart"/>
            <w:tcBorders>
              <w:top w:val="nil"/>
              <w:left w:val="single" w:sz="8" w:space="0" w:color="auto"/>
              <w:bottom w:val="single" w:sz="8" w:space="0" w:color="000000"/>
              <w:right w:val="single" w:sz="8" w:space="0" w:color="auto"/>
            </w:tcBorders>
            <w:vAlign w:val="center"/>
            <w:hideMark/>
          </w:tcPr>
          <w:p w14:paraId="1B41AA5A"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13.974.308,98</w:t>
            </w:r>
          </w:p>
        </w:tc>
        <w:tc>
          <w:tcPr>
            <w:tcW w:w="1134" w:type="dxa"/>
            <w:vMerge w:val="restart"/>
            <w:tcBorders>
              <w:top w:val="nil"/>
              <w:left w:val="single" w:sz="8" w:space="0" w:color="auto"/>
              <w:bottom w:val="single" w:sz="8" w:space="0" w:color="000000"/>
              <w:right w:val="single" w:sz="8" w:space="0" w:color="auto"/>
            </w:tcBorders>
            <w:vAlign w:val="center"/>
            <w:hideMark/>
          </w:tcPr>
          <w:p w14:paraId="413110D1" w14:textId="4A942B20"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2,25</w:t>
            </w:r>
            <w:r>
              <w:rPr>
                <w:rFonts w:eastAsia="Times New Roman"/>
                <w:b/>
                <w:bCs/>
                <w:color w:val="000000"/>
                <w:lang w:eastAsia="hr-HR"/>
              </w:rPr>
              <w:t xml:space="preserve"> </w:t>
            </w:r>
            <w:r w:rsidRPr="009823F4">
              <w:rPr>
                <w:rFonts w:eastAsia="Times New Roman"/>
                <w:b/>
                <w:bCs/>
                <w:color w:val="000000"/>
                <w:lang w:eastAsia="hr-HR"/>
              </w:rPr>
              <w:t>%</w:t>
            </w:r>
          </w:p>
        </w:tc>
        <w:tc>
          <w:tcPr>
            <w:tcW w:w="1843" w:type="dxa"/>
            <w:tcBorders>
              <w:top w:val="nil"/>
              <w:left w:val="nil"/>
              <w:bottom w:val="single" w:sz="8" w:space="0" w:color="auto"/>
              <w:right w:val="single" w:sz="8" w:space="0" w:color="auto"/>
            </w:tcBorders>
            <w:vAlign w:val="center"/>
            <w:hideMark/>
          </w:tcPr>
          <w:p w14:paraId="125EFEC4"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11.054.407,19</w:t>
            </w:r>
          </w:p>
        </w:tc>
        <w:tc>
          <w:tcPr>
            <w:tcW w:w="1985" w:type="dxa"/>
            <w:tcBorders>
              <w:top w:val="nil"/>
              <w:left w:val="single" w:sz="8" w:space="0" w:color="auto"/>
              <w:bottom w:val="single" w:sz="8" w:space="0" w:color="auto"/>
              <w:right w:val="single" w:sz="8" w:space="0" w:color="auto"/>
            </w:tcBorders>
            <w:vAlign w:val="center"/>
            <w:hideMark/>
          </w:tcPr>
          <w:p w14:paraId="61605AB3" w14:textId="79B94B42" w:rsidR="00BE5CC3" w:rsidRPr="009823F4" w:rsidRDefault="00BE5CC3" w:rsidP="00BE5CC3">
            <w:pPr>
              <w:spacing w:after="0" w:line="240" w:lineRule="auto"/>
              <w:jc w:val="center"/>
              <w:rPr>
                <w:rFonts w:eastAsia="Times New Roman"/>
                <w:b/>
                <w:bCs/>
                <w:color w:val="000000"/>
                <w:lang w:eastAsia="hr-HR"/>
              </w:rPr>
            </w:pPr>
            <w:r w:rsidRPr="00614608">
              <w:rPr>
                <w:b/>
                <w:bCs/>
                <w:color w:val="000000"/>
              </w:rPr>
              <w:t>332.651,13</w:t>
            </w:r>
          </w:p>
        </w:tc>
        <w:tc>
          <w:tcPr>
            <w:tcW w:w="2268" w:type="dxa"/>
            <w:tcBorders>
              <w:top w:val="nil"/>
              <w:left w:val="nil"/>
              <w:bottom w:val="single" w:sz="4" w:space="0" w:color="auto"/>
              <w:right w:val="single" w:sz="8" w:space="0" w:color="auto"/>
            </w:tcBorders>
            <w:vAlign w:val="center"/>
          </w:tcPr>
          <w:p w14:paraId="46B71408" w14:textId="40F8EE62" w:rsidR="00BE5CC3" w:rsidRPr="009823F4" w:rsidRDefault="00BE5CC3" w:rsidP="00BE5CC3">
            <w:pPr>
              <w:spacing w:after="0" w:line="240" w:lineRule="auto"/>
              <w:jc w:val="center"/>
              <w:rPr>
                <w:rFonts w:eastAsia="Times New Roman"/>
                <w:b/>
                <w:bCs/>
                <w:color w:val="000000"/>
                <w:lang w:eastAsia="hr-HR"/>
              </w:rPr>
            </w:pPr>
            <w:r w:rsidRPr="00614608">
              <w:rPr>
                <w:b/>
                <w:bCs/>
                <w:color w:val="000000"/>
              </w:rPr>
              <w:t>487.402,87</w:t>
            </w:r>
          </w:p>
        </w:tc>
        <w:tc>
          <w:tcPr>
            <w:tcW w:w="2268" w:type="dxa"/>
            <w:tcBorders>
              <w:top w:val="nil"/>
              <w:left w:val="nil"/>
              <w:bottom w:val="single" w:sz="8" w:space="0" w:color="auto"/>
              <w:right w:val="single" w:sz="8" w:space="0" w:color="auto"/>
            </w:tcBorders>
            <w:vAlign w:val="center"/>
            <w:hideMark/>
          </w:tcPr>
          <w:p w14:paraId="48847964" w14:textId="06C17520"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828.046,60</w:t>
            </w:r>
          </w:p>
        </w:tc>
        <w:tc>
          <w:tcPr>
            <w:tcW w:w="2126" w:type="dxa"/>
            <w:tcBorders>
              <w:top w:val="nil"/>
              <w:left w:val="nil"/>
              <w:bottom w:val="single" w:sz="8" w:space="0" w:color="auto"/>
              <w:right w:val="single" w:sz="8" w:space="0" w:color="auto"/>
            </w:tcBorders>
            <w:vAlign w:val="center"/>
            <w:hideMark/>
          </w:tcPr>
          <w:p w14:paraId="1D31CE8B"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1.648.100,60</w:t>
            </w:r>
          </w:p>
        </w:tc>
        <w:tc>
          <w:tcPr>
            <w:tcW w:w="2410" w:type="dxa"/>
            <w:tcBorders>
              <w:top w:val="nil"/>
              <w:left w:val="nil"/>
              <w:bottom w:val="single" w:sz="8" w:space="0" w:color="auto"/>
              <w:right w:val="single" w:sz="8" w:space="0" w:color="auto"/>
            </w:tcBorders>
            <w:vAlign w:val="center"/>
            <w:hideMark/>
          </w:tcPr>
          <w:p w14:paraId="1ACD5C7A"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9.406.306,59</w:t>
            </w:r>
          </w:p>
        </w:tc>
      </w:tr>
      <w:tr w:rsidR="00BE5CC3" w:rsidRPr="009823F4" w14:paraId="4815DCC5" w14:textId="77777777" w:rsidTr="00AF22F4">
        <w:trPr>
          <w:trHeight w:val="525"/>
          <w:jc w:val="center"/>
        </w:trPr>
        <w:tc>
          <w:tcPr>
            <w:tcW w:w="953" w:type="dxa"/>
            <w:vMerge/>
            <w:tcBorders>
              <w:top w:val="nil"/>
              <w:left w:val="single" w:sz="8" w:space="0" w:color="auto"/>
              <w:bottom w:val="single" w:sz="8" w:space="0" w:color="000000"/>
              <w:right w:val="single" w:sz="8" w:space="0" w:color="auto"/>
            </w:tcBorders>
            <w:vAlign w:val="center"/>
            <w:hideMark/>
          </w:tcPr>
          <w:p w14:paraId="5BBAE490" w14:textId="77777777" w:rsidR="00BE5CC3" w:rsidRPr="009823F4" w:rsidRDefault="00BE5CC3" w:rsidP="00BE5CC3">
            <w:pPr>
              <w:spacing w:after="0" w:line="240" w:lineRule="auto"/>
              <w:jc w:val="left"/>
              <w:rPr>
                <w:rFonts w:eastAsia="Times New Roman"/>
                <w:b/>
                <w:bCs/>
                <w:color w:val="000000"/>
                <w:sz w:val="20"/>
                <w:szCs w:val="20"/>
                <w:lang w:eastAsia="hr-HR"/>
              </w:rPr>
            </w:pPr>
          </w:p>
        </w:tc>
        <w:tc>
          <w:tcPr>
            <w:tcW w:w="1447" w:type="dxa"/>
            <w:vMerge/>
            <w:tcBorders>
              <w:top w:val="nil"/>
              <w:left w:val="single" w:sz="8" w:space="0" w:color="auto"/>
              <w:bottom w:val="single" w:sz="8" w:space="0" w:color="000000"/>
              <w:right w:val="single" w:sz="8" w:space="0" w:color="auto"/>
            </w:tcBorders>
            <w:vAlign w:val="center"/>
            <w:hideMark/>
          </w:tcPr>
          <w:p w14:paraId="2BDF5569" w14:textId="77777777" w:rsidR="00BE5CC3" w:rsidRPr="009823F4" w:rsidRDefault="00BE5CC3" w:rsidP="00BE5CC3">
            <w:pPr>
              <w:spacing w:after="0" w:line="240" w:lineRule="auto"/>
              <w:jc w:val="left"/>
              <w:rPr>
                <w:rFonts w:eastAsia="Times New Roman"/>
                <w:b/>
                <w:bCs/>
                <w:color w:val="000000"/>
                <w:sz w:val="20"/>
                <w:szCs w:val="20"/>
                <w:lang w:eastAsia="hr-HR"/>
              </w:rPr>
            </w:pPr>
          </w:p>
        </w:tc>
        <w:tc>
          <w:tcPr>
            <w:tcW w:w="709" w:type="dxa"/>
            <w:tcBorders>
              <w:top w:val="nil"/>
              <w:left w:val="nil"/>
              <w:bottom w:val="single" w:sz="8" w:space="0" w:color="auto"/>
              <w:right w:val="single" w:sz="8" w:space="0" w:color="auto"/>
            </w:tcBorders>
            <w:vAlign w:val="center"/>
            <w:hideMark/>
          </w:tcPr>
          <w:p w14:paraId="31DC629B" w14:textId="77777777" w:rsidR="00BE5CC3" w:rsidRPr="009823F4" w:rsidRDefault="00BE5CC3" w:rsidP="00BE5CC3">
            <w:pPr>
              <w:spacing w:after="0" w:line="240" w:lineRule="auto"/>
              <w:jc w:val="center"/>
              <w:rPr>
                <w:rFonts w:eastAsia="Times New Roman"/>
                <w:b/>
                <w:bCs/>
                <w:color w:val="000000"/>
                <w:sz w:val="20"/>
                <w:szCs w:val="20"/>
                <w:lang w:eastAsia="hr-HR"/>
              </w:rPr>
            </w:pPr>
            <w:r w:rsidRPr="009823F4">
              <w:rPr>
                <w:rFonts w:eastAsia="Times New Roman"/>
                <w:b/>
                <w:bCs/>
                <w:color w:val="000000"/>
                <w:sz w:val="20"/>
                <w:szCs w:val="20"/>
                <w:lang w:eastAsia="hr-HR"/>
              </w:rPr>
              <w:t>TZ</w:t>
            </w:r>
          </w:p>
        </w:tc>
        <w:tc>
          <w:tcPr>
            <w:tcW w:w="1701" w:type="dxa"/>
            <w:tcBorders>
              <w:top w:val="nil"/>
              <w:left w:val="nil"/>
              <w:bottom w:val="single" w:sz="8" w:space="0" w:color="auto"/>
              <w:right w:val="single" w:sz="8" w:space="0" w:color="auto"/>
            </w:tcBorders>
            <w:vAlign w:val="center"/>
            <w:hideMark/>
          </w:tcPr>
          <w:p w14:paraId="6EBF9665" w14:textId="77777777" w:rsidR="00BE5CC3" w:rsidRPr="009823F4" w:rsidRDefault="00BE5CC3" w:rsidP="00BE5CC3">
            <w:pPr>
              <w:spacing w:after="0" w:line="240" w:lineRule="auto"/>
              <w:rPr>
                <w:rFonts w:eastAsia="Times New Roman"/>
                <w:color w:val="000000"/>
                <w:sz w:val="20"/>
                <w:szCs w:val="20"/>
                <w:lang w:eastAsia="hr-HR"/>
              </w:rPr>
            </w:pPr>
            <w:r w:rsidRPr="009823F4">
              <w:rPr>
                <w:rFonts w:eastAsia="Times New Roman"/>
                <w:color w:val="000000"/>
                <w:sz w:val="20"/>
                <w:szCs w:val="20"/>
                <w:lang w:eastAsia="hr-HR"/>
              </w:rPr>
              <w:t>Projekti s trećim zemljama</w:t>
            </w:r>
          </w:p>
        </w:tc>
        <w:tc>
          <w:tcPr>
            <w:tcW w:w="1984" w:type="dxa"/>
            <w:vMerge/>
            <w:tcBorders>
              <w:top w:val="nil"/>
              <w:left w:val="single" w:sz="8" w:space="0" w:color="auto"/>
              <w:bottom w:val="single" w:sz="8" w:space="0" w:color="000000"/>
              <w:right w:val="single" w:sz="8" w:space="0" w:color="auto"/>
            </w:tcBorders>
            <w:vAlign w:val="center"/>
            <w:hideMark/>
          </w:tcPr>
          <w:p w14:paraId="46F98279" w14:textId="77777777" w:rsidR="00BE5CC3" w:rsidRPr="009823F4" w:rsidRDefault="00BE5CC3" w:rsidP="00BE5CC3">
            <w:pPr>
              <w:spacing w:after="0" w:line="240" w:lineRule="auto"/>
              <w:jc w:val="left"/>
              <w:rPr>
                <w:rFonts w:eastAsia="Times New Roman"/>
                <w:b/>
                <w:bCs/>
                <w:color w:val="000000"/>
                <w:lang w:eastAsia="hr-HR"/>
              </w:rPr>
            </w:pPr>
          </w:p>
        </w:tc>
        <w:tc>
          <w:tcPr>
            <w:tcW w:w="1134" w:type="dxa"/>
            <w:vMerge/>
            <w:tcBorders>
              <w:top w:val="nil"/>
              <w:left w:val="single" w:sz="8" w:space="0" w:color="auto"/>
              <w:bottom w:val="single" w:sz="8" w:space="0" w:color="000000"/>
              <w:right w:val="single" w:sz="8" w:space="0" w:color="auto"/>
            </w:tcBorders>
            <w:vAlign w:val="center"/>
            <w:hideMark/>
          </w:tcPr>
          <w:p w14:paraId="6D0F3771" w14:textId="77777777" w:rsidR="00BE5CC3" w:rsidRPr="009823F4" w:rsidRDefault="00BE5CC3" w:rsidP="00BE5CC3">
            <w:pPr>
              <w:spacing w:after="0" w:line="240" w:lineRule="auto"/>
              <w:jc w:val="left"/>
              <w:rPr>
                <w:rFonts w:eastAsia="Times New Roman"/>
                <w:b/>
                <w:bCs/>
                <w:color w:val="000000"/>
                <w:lang w:eastAsia="hr-HR"/>
              </w:rPr>
            </w:pPr>
          </w:p>
        </w:tc>
        <w:tc>
          <w:tcPr>
            <w:tcW w:w="1843" w:type="dxa"/>
            <w:tcBorders>
              <w:top w:val="nil"/>
              <w:left w:val="nil"/>
              <w:bottom w:val="single" w:sz="8" w:space="0" w:color="auto"/>
              <w:right w:val="single" w:sz="8" w:space="0" w:color="auto"/>
            </w:tcBorders>
            <w:vAlign w:val="center"/>
            <w:hideMark/>
          </w:tcPr>
          <w:p w14:paraId="7BCEE1EF"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2.919.901,79</w:t>
            </w:r>
          </w:p>
        </w:tc>
        <w:tc>
          <w:tcPr>
            <w:tcW w:w="1985" w:type="dxa"/>
            <w:tcBorders>
              <w:top w:val="nil"/>
              <w:left w:val="single" w:sz="8" w:space="0" w:color="auto"/>
              <w:bottom w:val="single" w:sz="4" w:space="0" w:color="auto"/>
              <w:right w:val="single" w:sz="8" w:space="0" w:color="auto"/>
            </w:tcBorders>
            <w:vAlign w:val="center"/>
            <w:hideMark/>
          </w:tcPr>
          <w:p w14:paraId="4ABE7FA4" w14:textId="2AD29C26" w:rsidR="00BE5CC3" w:rsidRPr="009823F4" w:rsidRDefault="00BE5CC3" w:rsidP="00BE5CC3">
            <w:pPr>
              <w:spacing w:after="0" w:line="240" w:lineRule="auto"/>
              <w:jc w:val="center"/>
              <w:rPr>
                <w:rFonts w:eastAsia="Times New Roman"/>
                <w:b/>
                <w:bCs/>
                <w:color w:val="000000"/>
                <w:lang w:eastAsia="hr-HR"/>
              </w:rPr>
            </w:pPr>
            <w:r w:rsidRPr="00614608">
              <w:rPr>
                <w:b/>
                <w:bCs/>
                <w:color w:val="000000"/>
              </w:rPr>
              <w:t>0,00</w:t>
            </w:r>
          </w:p>
        </w:tc>
        <w:tc>
          <w:tcPr>
            <w:tcW w:w="2268" w:type="dxa"/>
            <w:tcBorders>
              <w:top w:val="nil"/>
              <w:left w:val="nil"/>
              <w:bottom w:val="single" w:sz="8" w:space="0" w:color="auto"/>
              <w:right w:val="single" w:sz="8" w:space="0" w:color="auto"/>
            </w:tcBorders>
            <w:vAlign w:val="center"/>
          </w:tcPr>
          <w:p w14:paraId="2126DA35" w14:textId="28DE09C8" w:rsidR="00BE5CC3" w:rsidRPr="009823F4" w:rsidRDefault="00BE5CC3" w:rsidP="00BE5CC3">
            <w:pPr>
              <w:spacing w:after="0" w:line="240" w:lineRule="auto"/>
              <w:jc w:val="center"/>
              <w:rPr>
                <w:rFonts w:eastAsia="Times New Roman"/>
                <w:b/>
                <w:bCs/>
                <w:color w:val="000000"/>
                <w:lang w:eastAsia="hr-HR"/>
              </w:rPr>
            </w:pPr>
            <w:r w:rsidRPr="00614608">
              <w:rPr>
                <w:b/>
                <w:bCs/>
                <w:color w:val="000000"/>
              </w:rPr>
              <w:t>0,00</w:t>
            </w:r>
          </w:p>
        </w:tc>
        <w:tc>
          <w:tcPr>
            <w:tcW w:w="2268" w:type="dxa"/>
            <w:tcBorders>
              <w:top w:val="nil"/>
              <w:left w:val="nil"/>
              <w:bottom w:val="single" w:sz="4" w:space="0" w:color="auto"/>
              <w:right w:val="nil"/>
            </w:tcBorders>
            <w:vAlign w:val="center"/>
            <w:hideMark/>
          </w:tcPr>
          <w:p w14:paraId="09338D20" w14:textId="788854B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0,00</w:t>
            </w:r>
          </w:p>
        </w:tc>
        <w:tc>
          <w:tcPr>
            <w:tcW w:w="2126" w:type="dxa"/>
            <w:tcBorders>
              <w:top w:val="nil"/>
              <w:left w:val="single" w:sz="8" w:space="0" w:color="auto"/>
              <w:bottom w:val="single" w:sz="8" w:space="0" w:color="auto"/>
              <w:right w:val="single" w:sz="8" w:space="0" w:color="auto"/>
            </w:tcBorders>
            <w:vAlign w:val="center"/>
            <w:hideMark/>
          </w:tcPr>
          <w:p w14:paraId="19B9B03C"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0,00</w:t>
            </w:r>
          </w:p>
        </w:tc>
        <w:tc>
          <w:tcPr>
            <w:tcW w:w="2410" w:type="dxa"/>
            <w:tcBorders>
              <w:top w:val="nil"/>
              <w:left w:val="nil"/>
              <w:bottom w:val="single" w:sz="8" w:space="0" w:color="auto"/>
              <w:right w:val="single" w:sz="8" w:space="0" w:color="auto"/>
            </w:tcBorders>
            <w:vAlign w:val="center"/>
            <w:hideMark/>
          </w:tcPr>
          <w:p w14:paraId="03AABCB3"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2.919.901,79</w:t>
            </w:r>
          </w:p>
        </w:tc>
      </w:tr>
      <w:tr w:rsidR="00BE5CC3" w:rsidRPr="009823F4" w14:paraId="35A761E4" w14:textId="77777777" w:rsidTr="00AF22F4">
        <w:trPr>
          <w:trHeight w:val="330"/>
          <w:jc w:val="center"/>
        </w:trPr>
        <w:tc>
          <w:tcPr>
            <w:tcW w:w="2400" w:type="dxa"/>
            <w:gridSpan w:val="2"/>
            <w:tcBorders>
              <w:top w:val="single" w:sz="8" w:space="0" w:color="auto"/>
              <w:left w:val="single" w:sz="8" w:space="0" w:color="auto"/>
              <w:bottom w:val="single" w:sz="8" w:space="0" w:color="auto"/>
              <w:right w:val="single" w:sz="8" w:space="0" w:color="000000"/>
            </w:tcBorders>
            <w:shd w:val="clear" w:color="000000" w:fill="C6D9F1"/>
            <w:vAlign w:val="center"/>
            <w:hideMark/>
          </w:tcPr>
          <w:p w14:paraId="09C33ED2" w14:textId="77777777" w:rsidR="00BE5CC3" w:rsidRPr="009823F4" w:rsidRDefault="00BE5CC3" w:rsidP="00BE5CC3">
            <w:pPr>
              <w:spacing w:after="0" w:line="240" w:lineRule="auto"/>
              <w:jc w:val="right"/>
              <w:rPr>
                <w:rFonts w:eastAsia="Times New Roman"/>
                <w:b/>
                <w:bCs/>
                <w:color w:val="000000"/>
                <w:sz w:val="20"/>
                <w:szCs w:val="20"/>
                <w:lang w:eastAsia="hr-HR"/>
              </w:rPr>
            </w:pPr>
            <w:r w:rsidRPr="009823F4">
              <w:rPr>
                <w:rFonts w:eastAsia="Times New Roman"/>
                <w:b/>
                <w:bCs/>
                <w:color w:val="000000"/>
                <w:sz w:val="20"/>
                <w:szCs w:val="20"/>
                <w:lang w:eastAsia="hr-HR"/>
              </w:rPr>
              <w:t>SVEUKUPNO:</w:t>
            </w:r>
          </w:p>
        </w:tc>
        <w:tc>
          <w:tcPr>
            <w:tcW w:w="2410" w:type="dxa"/>
            <w:gridSpan w:val="2"/>
            <w:tcBorders>
              <w:top w:val="single" w:sz="8" w:space="0" w:color="auto"/>
              <w:left w:val="nil"/>
              <w:bottom w:val="single" w:sz="8" w:space="0" w:color="auto"/>
              <w:right w:val="single" w:sz="8" w:space="0" w:color="000000"/>
            </w:tcBorders>
            <w:shd w:val="clear" w:color="000000" w:fill="C6D9F1"/>
            <w:vAlign w:val="center"/>
            <w:hideMark/>
          </w:tcPr>
          <w:p w14:paraId="224DBC2F" w14:textId="77777777" w:rsidR="00BE5CC3" w:rsidRPr="009823F4" w:rsidRDefault="00BE5CC3" w:rsidP="00BE5CC3">
            <w:pPr>
              <w:spacing w:after="0" w:line="240" w:lineRule="auto"/>
              <w:jc w:val="left"/>
              <w:rPr>
                <w:rFonts w:eastAsia="Times New Roman"/>
                <w:color w:val="000000"/>
                <w:sz w:val="20"/>
                <w:szCs w:val="20"/>
                <w:lang w:eastAsia="hr-HR"/>
              </w:rPr>
            </w:pPr>
            <w:r w:rsidRPr="009823F4">
              <w:rPr>
                <w:rFonts w:eastAsia="Times New Roman"/>
                <w:color w:val="000000"/>
                <w:sz w:val="20"/>
                <w:szCs w:val="20"/>
                <w:lang w:eastAsia="hr-HR"/>
              </w:rPr>
              <w:t> </w:t>
            </w:r>
          </w:p>
        </w:tc>
        <w:tc>
          <w:tcPr>
            <w:tcW w:w="1984" w:type="dxa"/>
            <w:tcBorders>
              <w:top w:val="nil"/>
              <w:left w:val="nil"/>
              <w:bottom w:val="single" w:sz="8" w:space="0" w:color="auto"/>
              <w:right w:val="single" w:sz="8" w:space="0" w:color="auto"/>
            </w:tcBorders>
            <w:shd w:val="clear" w:color="000000" w:fill="C6D9F1"/>
            <w:vAlign w:val="center"/>
            <w:hideMark/>
          </w:tcPr>
          <w:p w14:paraId="1B390BE7"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620.463.136,37</w:t>
            </w:r>
          </w:p>
        </w:tc>
        <w:tc>
          <w:tcPr>
            <w:tcW w:w="1134" w:type="dxa"/>
            <w:tcBorders>
              <w:top w:val="nil"/>
              <w:left w:val="nil"/>
              <w:bottom w:val="single" w:sz="8" w:space="0" w:color="auto"/>
              <w:right w:val="single" w:sz="8" w:space="0" w:color="auto"/>
            </w:tcBorders>
            <w:shd w:val="clear" w:color="000000" w:fill="C6D9F1"/>
            <w:vAlign w:val="center"/>
            <w:hideMark/>
          </w:tcPr>
          <w:p w14:paraId="768A5290" w14:textId="31475733"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100</w:t>
            </w:r>
            <w:r>
              <w:rPr>
                <w:rFonts w:eastAsia="Times New Roman"/>
                <w:b/>
                <w:bCs/>
                <w:color w:val="000000"/>
                <w:lang w:eastAsia="hr-HR"/>
              </w:rPr>
              <w:t xml:space="preserve"> </w:t>
            </w:r>
            <w:r w:rsidRPr="009823F4">
              <w:rPr>
                <w:rFonts w:eastAsia="Times New Roman"/>
                <w:b/>
                <w:bCs/>
                <w:color w:val="000000"/>
                <w:lang w:eastAsia="hr-HR"/>
              </w:rPr>
              <w:t>%</w:t>
            </w:r>
          </w:p>
        </w:tc>
        <w:tc>
          <w:tcPr>
            <w:tcW w:w="1843" w:type="dxa"/>
            <w:tcBorders>
              <w:top w:val="nil"/>
              <w:left w:val="nil"/>
              <w:bottom w:val="single" w:sz="8" w:space="0" w:color="auto"/>
              <w:right w:val="single" w:sz="8" w:space="0" w:color="auto"/>
            </w:tcBorders>
            <w:shd w:val="clear" w:color="000000" w:fill="C6D9F1"/>
            <w:vAlign w:val="center"/>
            <w:hideMark/>
          </w:tcPr>
          <w:p w14:paraId="338E609D"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620.463.136,37</w:t>
            </w:r>
          </w:p>
        </w:tc>
        <w:tc>
          <w:tcPr>
            <w:tcW w:w="1985" w:type="dxa"/>
            <w:tcBorders>
              <w:top w:val="nil"/>
              <w:left w:val="single" w:sz="8" w:space="0" w:color="auto"/>
              <w:bottom w:val="single" w:sz="8" w:space="0" w:color="auto"/>
              <w:right w:val="single" w:sz="4" w:space="0" w:color="auto"/>
            </w:tcBorders>
            <w:shd w:val="clear" w:color="000000" w:fill="C6D9F1"/>
            <w:vAlign w:val="center"/>
            <w:hideMark/>
          </w:tcPr>
          <w:p w14:paraId="781D3C13"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203.492.520,28</w:t>
            </w:r>
          </w:p>
        </w:tc>
        <w:tc>
          <w:tcPr>
            <w:tcW w:w="2268" w:type="dxa"/>
            <w:tcBorders>
              <w:top w:val="nil"/>
              <w:left w:val="single" w:sz="8" w:space="0" w:color="auto"/>
              <w:bottom w:val="single" w:sz="8" w:space="0" w:color="auto"/>
              <w:right w:val="single" w:sz="8" w:space="0" w:color="auto"/>
            </w:tcBorders>
            <w:shd w:val="clear" w:color="000000" w:fill="C6D9F1"/>
          </w:tcPr>
          <w:p w14:paraId="602881F2" w14:textId="33AF7595" w:rsidR="00BE5CC3" w:rsidRPr="009823F4" w:rsidRDefault="008854D7" w:rsidP="00BE5CC3">
            <w:pPr>
              <w:spacing w:after="0" w:line="240" w:lineRule="auto"/>
              <w:jc w:val="center"/>
              <w:rPr>
                <w:rFonts w:eastAsia="Times New Roman"/>
                <w:b/>
                <w:bCs/>
                <w:color w:val="000000"/>
                <w:lang w:eastAsia="hr-HR"/>
              </w:rPr>
            </w:pPr>
            <w:r>
              <w:rPr>
                <w:rFonts w:eastAsia="Times New Roman"/>
                <w:b/>
                <w:bCs/>
                <w:color w:val="000000"/>
                <w:lang w:eastAsia="hr-HR"/>
              </w:rPr>
              <w:t>105.481.725,70</w:t>
            </w:r>
          </w:p>
        </w:tc>
        <w:tc>
          <w:tcPr>
            <w:tcW w:w="2268" w:type="dxa"/>
            <w:tcBorders>
              <w:top w:val="nil"/>
              <w:left w:val="single" w:sz="8" w:space="0" w:color="auto"/>
              <w:bottom w:val="single" w:sz="8" w:space="0" w:color="auto"/>
              <w:right w:val="single" w:sz="4" w:space="0" w:color="auto"/>
            </w:tcBorders>
            <w:shd w:val="clear" w:color="000000" w:fill="C6D9F1"/>
            <w:vAlign w:val="center"/>
            <w:hideMark/>
          </w:tcPr>
          <w:p w14:paraId="1496AB54" w14:textId="3362FA29" w:rsidR="00BE5CC3" w:rsidRPr="009823F4" w:rsidRDefault="008854D7"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139.800.696,99</w:t>
            </w:r>
          </w:p>
        </w:tc>
        <w:tc>
          <w:tcPr>
            <w:tcW w:w="2126" w:type="dxa"/>
            <w:tcBorders>
              <w:top w:val="single" w:sz="4" w:space="0" w:color="auto"/>
              <w:left w:val="nil"/>
              <w:bottom w:val="single" w:sz="8" w:space="0" w:color="auto"/>
              <w:right w:val="single" w:sz="8" w:space="0" w:color="auto"/>
            </w:tcBorders>
            <w:shd w:val="clear" w:color="auto" w:fill="C6D9F1" w:themeFill="text2" w:themeFillTint="33"/>
            <w:vAlign w:val="center"/>
            <w:hideMark/>
          </w:tcPr>
          <w:p w14:paraId="733763E5" w14:textId="24B9E131" w:rsidR="00BE5CC3" w:rsidRPr="009823F4" w:rsidRDefault="008854D7"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343.293.217,27</w:t>
            </w:r>
          </w:p>
        </w:tc>
        <w:tc>
          <w:tcPr>
            <w:tcW w:w="2410" w:type="dxa"/>
            <w:tcBorders>
              <w:top w:val="nil"/>
              <w:left w:val="single" w:sz="8" w:space="0" w:color="auto"/>
              <w:bottom w:val="single" w:sz="8" w:space="0" w:color="auto"/>
              <w:right w:val="single" w:sz="4" w:space="0" w:color="auto"/>
            </w:tcBorders>
            <w:shd w:val="clear" w:color="000000" w:fill="C6D9F1"/>
            <w:vAlign w:val="center"/>
            <w:hideMark/>
          </w:tcPr>
          <w:p w14:paraId="2F0032BE" w14:textId="77777777" w:rsidR="00BE5CC3" w:rsidRPr="009823F4" w:rsidRDefault="00BE5CC3" w:rsidP="00BE5CC3">
            <w:pPr>
              <w:spacing w:after="0" w:line="240" w:lineRule="auto"/>
              <w:jc w:val="center"/>
              <w:rPr>
                <w:rFonts w:eastAsia="Times New Roman"/>
                <w:b/>
                <w:bCs/>
                <w:color w:val="000000"/>
                <w:lang w:eastAsia="hr-HR"/>
              </w:rPr>
            </w:pPr>
            <w:r w:rsidRPr="009823F4">
              <w:rPr>
                <w:rFonts w:eastAsia="Times New Roman"/>
                <w:b/>
                <w:bCs/>
                <w:color w:val="000000"/>
                <w:lang w:eastAsia="hr-HR"/>
              </w:rPr>
              <w:t>295.348.351,54</w:t>
            </w:r>
          </w:p>
        </w:tc>
      </w:tr>
    </w:tbl>
    <w:p w14:paraId="684E6CAE" w14:textId="77777777" w:rsidR="00AD05C1" w:rsidRDefault="00AD05C1" w:rsidP="00AD05C1">
      <w:pPr>
        <w:spacing w:after="0" w:line="240" w:lineRule="auto"/>
        <w:rPr>
          <w:b/>
        </w:rPr>
      </w:pPr>
      <w:r w:rsidRPr="00AA3AEB">
        <w:rPr>
          <w:b/>
        </w:rPr>
        <w:t>*povrat Mjera Energetsko siromaštvo 18.178.432,44 eur</w:t>
      </w:r>
      <w:r>
        <w:rPr>
          <w:b/>
        </w:rPr>
        <w:t>a</w:t>
      </w:r>
    </w:p>
    <w:p w14:paraId="6AA6E132" w14:textId="77777777" w:rsidR="00256B39" w:rsidRPr="00952BB6" w:rsidRDefault="00256B39" w:rsidP="00952BB6">
      <w:pPr>
        <w:spacing w:after="0" w:line="240" w:lineRule="auto"/>
        <w:rPr>
          <w:b/>
          <w:highlight w:val="yellow"/>
        </w:rPr>
        <w:sectPr w:rsidR="00256B39" w:rsidRPr="00952BB6" w:rsidSect="00952BB6">
          <w:headerReference w:type="default" r:id="rId22"/>
          <w:footerReference w:type="default" r:id="rId23"/>
          <w:pgSz w:w="23811" w:h="16838" w:orient="landscape" w:code="8"/>
          <w:pgMar w:top="568" w:right="720" w:bottom="426" w:left="720" w:header="708" w:footer="708" w:gutter="0"/>
          <w:cols w:space="708"/>
          <w:docGrid w:linePitch="360"/>
        </w:sectPr>
      </w:pPr>
    </w:p>
    <w:p w14:paraId="1F1A2664" w14:textId="77777777" w:rsidR="00952BB6" w:rsidRPr="00952BB6" w:rsidRDefault="00952BB6" w:rsidP="00952BB6">
      <w:pPr>
        <w:spacing w:before="60" w:after="120" w:line="240" w:lineRule="auto"/>
        <w:rPr>
          <w:i/>
          <w:highlight w:val="yellow"/>
        </w:rPr>
      </w:pPr>
    </w:p>
    <w:p w14:paraId="493F7B08" w14:textId="7B956032" w:rsidR="00952BB6" w:rsidRPr="00831FF9" w:rsidRDefault="00952BB6" w:rsidP="00952BB6">
      <w:pPr>
        <w:spacing w:before="60" w:after="120" w:line="240" w:lineRule="auto"/>
        <w:rPr>
          <w:rFonts w:eastAsia="Times New Roman"/>
          <w:b/>
          <w:lang w:eastAsia="hr-HR"/>
        </w:rPr>
      </w:pPr>
      <w:r w:rsidRPr="00831FF9">
        <w:rPr>
          <w:i/>
        </w:rPr>
        <w:t xml:space="preserve">Prilog </w:t>
      </w:r>
      <w:r w:rsidR="00DD5F65">
        <w:rPr>
          <w:i/>
        </w:rPr>
        <w:t>4</w:t>
      </w:r>
      <w:r w:rsidRPr="00831FF9">
        <w:rPr>
          <w:i/>
        </w:rPr>
        <w:t>. -</w:t>
      </w:r>
      <w:r w:rsidRPr="00831FF9">
        <w:rPr>
          <w:rFonts w:eastAsia="Times New Roman"/>
          <w:b/>
          <w:lang w:eastAsia="hr-HR"/>
        </w:rPr>
        <w:t xml:space="preserve"> </w:t>
      </w:r>
      <w:bookmarkStart w:id="50" w:name="_Hlk101774990"/>
      <w:r w:rsidRPr="00831FF9">
        <w:rPr>
          <w:rFonts w:eastAsia="Times New Roman"/>
          <w:b/>
          <w:lang w:eastAsia="hr-HR"/>
        </w:rPr>
        <w:t xml:space="preserve">Prihodi </w:t>
      </w:r>
      <w:r w:rsidR="00AF22F4">
        <w:rPr>
          <w:rFonts w:eastAsia="Times New Roman"/>
          <w:b/>
          <w:lang w:eastAsia="hr-HR"/>
        </w:rPr>
        <w:t>od dražbovanja emisijskih jedinica u razdoblju 2021. – 2024.</w:t>
      </w:r>
    </w:p>
    <w:tbl>
      <w:tblPr>
        <w:tblStyle w:val="Reetkatablice"/>
        <w:tblW w:w="0" w:type="auto"/>
        <w:jc w:val="center"/>
        <w:tblLook w:val="04A0" w:firstRow="1" w:lastRow="0" w:firstColumn="1" w:lastColumn="0" w:noHBand="0" w:noVBand="1"/>
      </w:tblPr>
      <w:tblGrid>
        <w:gridCol w:w="2523"/>
        <w:gridCol w:w="2594"/>
        <w:gridCol w:w="2594"/>
        <w:gridCol w:w="2641"/>
        <w:gridCol w:w="2521"/>
        <w:gridCol w:w="2515"/>
      </w:tblGrid>
      <w:tr w:rsidR="00FD46AA" w:rsidRPr="00884EA3" w14:paraId="07E30116" w14:textId="245F1558" w:rsidTr="00EC2687">
        <w:trPr>
          <w:jc w:val="center"/>
        </w:trPr>
        <w:tc>
          <w:tcPr>
            <w:tcW w:w="2523" w:type="dxa"/>
            <w:shd w:val="clear" w:color="auto" w:fill="C6D9F1" w:themeFill="text2" w:themeFillTint="33"/>
          </w:tcPr>
          <w:bookmarkEnd w:id="50"/>
          <w:p w14:paraId="2F62FA5C" w14:textId="77777777" w:rsidR="00FD46AA" w:rsidRPr="00884EA3" w:rsidRDefault="00FD46AA" w:rsidP="00281314">
            <w:pPr>
              <w:spacing w:before="60" w:after="60"/>
              <w:jc w:val="left"/>
              <w:rPr>
                <w:b/>
                <w:bCs/>
              </w:rPr>
            </w:pPr>
            <w:r w:rsidRPr="00884EA3">
              <w:rPr>
                <w:b/>
                <w:bCs/>
              </w:rPr>
              <w:t>Financijska sredstva dobivena od prodaje emisijskih jedinica stakleničkih plinova putem dražbi</w:t>
            </w:r>
          </w:p>
        </w:tc>
        <w:tc>
          <w:tcPr>
            <w:tcW w:w="2594" w:type="dxa"/>
            <w:shd w:val="clear" w:color="auto" w:fill="C6D9F1" w:themeFill="text2" w:themeFillTint="33"/>
            <w:vAlign w:val="center"/>
          </w:tcPr>
          <w:p w14:paraId="032B598B" w14:textId="77777777" w:rsidR="00FD46AA" w:rsidRPr="00884EA3" w:rsidRDefault="00FD46AA" w:rsidP="00281314">
            <w:pPr>
              <w:spacing w:before="60" w:after="60"/>
              <w:jc w:val="center"/>
              <w:rPr>
                <w:b/>
                <w:bCs/>
              </w:rPr>
            </w:pPr>
            <w:r w:rsidRPr="00884EA3">
              <w:rPr>
                <w:b/>
                <w:bCs/>
              </w:rPr>
              <w:t>202</w:t>
            </w:r>
            <w:r>
              <w:rPr>
                <w:b/>
                <w:bCs/>
              </w:rPr>
              <w:t>1</w:t>
            </w:r>
            <w:r w:rsidRPr="00884EA3">
              <w:rPr>
                <w:b/>
                <w:bCs/>
              </w:rPr>
              <w:t>.</w:t>
            </w:r>
          </w:p>
        </w:tc>
        <w:tc>
          <w:tcPr>
            <w:tcW w:w="2594" w:type="dxa"/>
            <w:shd w:val="clear" w:color="auto" w:fill="C6D9F1" w:themeFill="text2" w:themeFillTint="33"/>
            <w:vAlign w:val="center"/>
          </w:tcPr>
          <w:p w14:paraId="3116CCDD" w14:textId="77777777" w:rsidR="00FD46AA" w:rsidRPr="00884EA3" w:rsidRDefault="00FD46AA" w:rsidP="00281314">
            <w:pPr>
              <w:spacing w:before="60" w:after="60"/>
              <w:jc w:val="center"/>
              <w:rPr>
                <w:b/>
                <w:bCs/>
              </w:rPr>
            </w:pPr>
            <w:r w:rsidRPr="00884EA3">
              <w:rPr>
                <w:b/>
                <w:bCs/>
              </w:rPr>
              <w:t>202</w:t>
            </w:r>
            <w:r>
              <w:rPr>
                <w:b/>
                <w:bCs/>
              </w:rPr>
              <w:t>2</w:t>
            </w:r>
            <w:r w:rsidRPr="00884EA3">
              <w:rPr>
                <w:b/>
                <w:bCs/>
              </w:rPr>
              <w:t>.</w:t>
            </w:r>
          </w:p>
        </w:tc>
        <w:tc>
          <w:tcPr>
            <w:tcW w:w="2641" w:type="dxa"/>
            <w:shd w:val="clear" w:color="auto" w:fill="C6D9F1" w:themeFill="text2" w:themeFillTint="33"/>
            <w:vAlign w:val="center"/>
          </w:tcPr>
          <w:p w14:paraId="52BE09EF" w14:textId="77777777" w:rsidR="00FD46AA" w:rsidRPr="00884EA3" w:rsidRDefault="00FD46AA" w:rsidP="00281314">
            <w:pPr>
              <w:spacing w:before="60" w:after="60"/>
              <w:jc w:val="center"/>
              <w:rPr>
                <w:b/>
                <w:bCs/>
              </w:rPr>
            </w:pPr>
            <w:r w:rsidRPr="00884EA3">
              <w:rPr>
                <w:b/>
                <w:bCs/>
              </w:rPr>
              <w:t>2023.</w:t>
            </w:r>
          </w:p>
        </w:tc>
        <w:tc>
          <w:tcPr>
            <w:tcW w:w="2521" w:type="dxa"/>
            <w:shd w:val="clear" w:color="auto" w:fill="C6D9F1" w:themeFill="text2" w:themeFillTint="33"/>
            <w:vAlign w:val="center"/>
          </w:tcPr>
          <w:p w14:paraId="5F9009E3" w14:textId="77777777" w:rsidR="00FD46AA" w:rsidRPr="00884EA3" w:rsidRDefault="00FD46AA" w:rsidP="00281314">
            <w:pPr>
              <w:spacing w:before="60" w:after="60"/>
              <w:jc w:val="center"/>
              <w:rPr>
                <w:b/>
                <w:bCs/>
              </w:rPr>
            </w:pPr>
            <w:r w:rsidRPr="00884EA3">
              <w:rPr>
                <w:b/>
                <w:bCs/>
              </w:rPr>
              <w:t>2024.</w:t>
            </w:r>
          </w:p>
        </w:tc>
        <w:tc>
          <w:tcPr>
            <w:tcW w:w="2515" w:type="dxa"/>
            <w:shd w:val="clear" w:color="auto" w:fill="C6D9F1" w:themeFill="text2" w:themeFillTint="33"/>
          </w:tcPr>
          <w:p w14:paraId="2C69BF73" w14:textId="77777777" w:rsidR="00EC2687" w:rsidRDefault="00EC2687" w:rsidP="00281314">
            <w:pPr>
              <w:spacing w:before="60" w:after="60"/>
              <w:jc w:val="center"/>
              <w:rPr>
                <w:b/>
                <w:bCs/>
              </w:rPr>
            </w:pPr>
          </w:p>
          <w:p w14:paraId="4E87FBB8" w14:textId="77777777" w:rsidR="00EC2687" w:rsidRDefault="00EC2687" w:rsidP="00281314">
            <w:pPr>
              <w:spacing w:before="60" w:after="60"/>
              <w:jc w:val="center"/>
              <w:rPr>
                <w:b/>
                <w:bCs/>
              </w:rPr>
            </w:pPr>
          </w:p>
          <w:p w14:paraId="6EC28A83" w14:textId="3C8ED4D6" w:rsidR="00FD46AA" w:rsidRPr="00884EA3" w:rsidRDefault="00FD46AA" w:rsidP="00281314">
            <w:pPr>
              <w:spacing w:before="60" w:after="60"/>
              <w:jc w:val="center"/>
              <w:rPr>
                <w:b/>
                <w:bCs/>
              </w:rPr>
            </w:pPr>
            <w:r>
              <w:rPr>
                <w:b/>
                <w:bCs/>
              </w:rPr>
              <w:t>Ukupno 2021. – 2024.</w:t>
            </w:r>
          </w:p>
        </w:tc>
      </w:tr>
      <w:tr w:rsidR="00EC2687" w:rsidRPr="00884EA3" w14:paraId="3A02D914" w14:textId="3848B09C" w:rsidTr="00EC2687">
        <w:trPr>
          <w:jc w:val="center"/>
        </w:trPr>
        <w:tc>
          <w:tcPr>
            <w:tcW w:w="2523" w:type="dxa"/>
            <w:shd w:val="clear" w:color="auto" w:fill="C6D9F1" w:themeFill="text2" w:themeFillTint="33"/>
          </w:tcPr>
          <w:p w14:paraId="2AAD60E4" w14:textId="77777777" w:rsidR="00EC2687" w:rsidRPr="00884EA3" w:rsidRDefault="00EC2687" w:rsidP="00EC2687">
            <w:pPr>
              <w:spacing w:before="60" w:after="60"/>
              <w:jc w:val="left"/>
              <w:rPr>
                <w:b/>
                <w:bCs/>
              </w:rPr>
            </w:pPr>
            <w:r w:rsidRPr="00884EA3">
              <w:rPr>
                <w:b/>
                <w:bCs/>
              </w:rPr>
              <w:t>Broj održanih dražbi</w:t>
            </w:r>
          </w:p>
        </w:tc>
        <w:tc>
          <w:tcPr>
            <w:tcW w:w="2594" w:type="dxa"/>
            <w:tcBorders>
              <w:top w:val="single" w:sz="4" w:space="0" w:color="auto"/>
              <w:left w:val="single" w:sz="4" w:space="0" w:color="auto"/>
              <w:bottom w:val="single" w:sz="4" w:space="0" w:color="auto"/>
              <w:right w:val="single" w:sz="4" w:space="0" w:color="auto"/>
            </w:tcBorders>
            <w:vAlign w:val="center"/>
          </w:tcPr>
          <w:p w14:paraId="586AD1A2" w14:textId="77777777" w:rsidR="00EC2687" w:rsidRDefault="00EC2687" w:rsidP="00EC2687">
            <w:pPr>
              <w:spacing w:before="60" w:after="60"/>
              <w:jc w:val="center"/>
            </w:pPr>
            <w:r>
              <w:t>137</w:t>
            </w:r>
          </w:p>
        </w:tc>
        <w:tc>
          <w:tcPr>
            <w:tcW w:w="2594" w:type="dxa"/>
            <w:vAlign w:val="center"/>
          </w:tcPr>
          <w:p w14:paraId="14F926A5" w14:textId="77777777" w:rsidR="00EC2687" w:rsidRDefault="00EC2687" w:rsidP="00EC2687">
            <w:pPr>
              <w:spacing w:before="60" w:after="60"/>
              <w:jc w:val="center"/>
            </w:pPr>
            <w:r>
              <w:t>147</w:t>
            </w:r>
          </w:p>
        </w:tc>
        <w:tc>
          <w:tcPr>
            <w:tcW w:w="2641" w:type="dxa"/>
            <w:vAlign w:val="center"/>
          </w:tcPr>
          <w:p w14:paraId="354C45E8" w14:textId="77777777" w:rsidR="00EC2687" w:rsidRPr="00884EA3" w:rsidRDefault="00EC2687" w:rsidP="00EC2687">
            <w:pPr>
              <w:spacing w:before="60" w:after="60"/>
              <w:jc w:val="center"/>
            </w:pPr>
            <w:r>
              <w:t>149</w:t>
            </w:r>
          </w:p>
        </w:tc>
        <w:tc>
          <w:tcPr>
            <w:tcW w:w="2521" w:type="dxa"/>
            <w:vAlign w:val="center"/>
          </w:tcPr>
          <w:p w14:paraId="4A22B770" w14:textId="77777777" w:rsidR="00EC2687" w:rsidRPr="00884EA3" w:rsidRDefault="00EC2687" w:rsidP="00EC2687">
            <w:pPr>
              <w:spacing w:before="60" w:after="60"/>
              <w:jc w:val="center"/>
            </w:pPr>
            <w:r>
              <w:t>148</w:t>
            </w:r>
          </w:p>
        </w:tc>
        <w:tc>
          <w:tcPr>
            <w:tcW w:w="2515" w:type="dxa"/>
            <w:tcBorders>
              <w:top w:val="nil"/>
              <w:left w:val="nil"/>
              <w:bottom w:val="single" w:sz="8" w:space="0" w:color="auto"/>
              <w:right w:val="single" w:sz="8" w:space="0" w:color="auto"/>
            </w:tcBorders>
            <w:vAlign w:val="center"/>
          </w:tcPr>
          <w:p w14:paraId="57AC3599" w14:textId="116BD8A8" w:rsidR="00EC2687" w:rsidRDefault="00EC2687" w:rsidP="00EC2687">
            <w:pPr>
              <w:spacing w:before="60" w:after="60"/>
              <w:jc w:val="center"/>
            </w:pPr>
            <w:r>
              <w:rPr>
                <w:color w:val="000000"/>
              </w:rPr>
              <w:t>581</w:t>
            </w:r>
          </w:p>
        </w:tc>
      </w:tr>
      <w:tr w:rsidR="00EC2687" w:rsidRPr="00884EA3" w14:paraId="49EAE795" w14:textId="04912220" w:rsidTr="00EC2687">
        <w:trPr>
          <w:jc w:val="center"/>
        </w:trPr>
        <w:tc>
          <w:tcPr>
            <w:tcW w:w="2523" w:type="dxa"/>
            <w:shd w:val="clear" w:color="auto" w:fill="C6D9F1" w:themeFill="text2" w:themeFillTint="33"/>
          </w:tcPr>
          <w:p w14:paraId="1A4EA5B7" w14:textId="77777777" w:rsidR="00EC2687" w:rsidRPr="00884EA3" w:rsidRDefault="00EC2687" w:rsidP="00EC2687">
            <w:pPr>
              <w:spacing w:before="60" w:after="60"/>
              <w:jc w:val="left"/>
              <w:rPr>
                <w:b/>
                <w:bCs/>
              </w:rPr>
            </w:pPr>
            <w:r w:rsidRPr="00884EA3">
              <w:rPr>
                <w:b/>
                <w:bCs/>
              </w:rPr>
              <w:t xml:space="preserve">Ukupan </w:t>
            </w:r>
            <w:r>
              <w:rPr>
                <w:b/>
                <w:bCs/>
              </w:rPr>
              <w:t xml:space="preserve">broj </w:t>
            </w:r>
            <w:r w:rsidRPr="00884EA3">
              <w:rPr>
                <w:b/>
                <w:bCs/>
              </w:rPr>
              <w:t>emisijskih jedinica</w:t>
            </w:r>
          </w:p>
        </w:tc>
        <w:tc>
          <w:tcPr>
            <w:tcW w:w="2594" w:type="dxa"/>
            <w:tcBorders>
              <w:top w:val="single" w:sz="4" w:space="0" w:color="auto"/>
              <w:left w:val="single" w:sz="4" w:space="0" w:color="auto"/>
              <w:bottom w:val="single" w:sz="4" w:space="0" w:color="auto"/>
              <w:right w:val="single" w:sz="4" w:space="0" w:color="auto"/>
            </w:tcBorders>
            <w:vAlign w:val="center"/>
          </w:tcPr>
          <w:p w14:paraId="563821F7" w14:textId="77777777" w:rsidR="00EC2687" w:rsidRDefault="00EC2687" w:rsidP="00EC2687">
            <w:pPr>
              <w:spacing w:before="60" w:after="60"/>
              <w:jc w:val="center"/>
            </w:pPr>
            <w:r>
              <w:t>2.126.500</w:t>
            </w:r>
          </w:p>
        </w:tc>
        <w:tc>
          <w:tcPr>
            <w:tcW w:w="2594" w:type="dxa"/>
            <w:vAlign w:val="center"/>
          </w:tcPr>
          <w:p w14:paraId="427BDB52" w14:textId="77777777" w:rsidR="00EC2687" w:rsidRDefault="00EC2687" w:rsidP="00EC2687">
            <w:pPr>
              <w:spacing w:before="60" w:after="60"/>
              <w:jc w:val="center"/>
            </w:pPr>
            <w:r>
              <w:t>1.797.500</w:t>
            </w:r>
          </w:p>
        </w:tc>
        <w:tc>
          <w:tcPr>
            <w:tcW w:w="2641" w:type="dxa"/>
            <w:vAlign w:val="center"/>
          </w:tcPr>
          <w:p w14:paraId="2499A36B" w14:textId="77777777" w:rsidR="00EC2687" w:rsidRPr="00884EA3" w:rsidRDefault="00EC2687" w:rsidP="00EC2687">
            <w:pPr>
              <w:spacing w:before="60" w:after="60"/>
              <w:jc w:val="center"/>
            </w:pPr>
            <w:r>
              <w:t>1.911.500</w:t>
            </w:r>
          </w:p>
        </w:tc>
        <w:tc>
          <w:tcPr>
            <w:tcW w:w="2521" w:type="dxa"/>
            <w:vAlign w:val="center"/>
          </w:tcPr>
          <w:p w14:paraId="351F166A" w14:textId="77777777" w:rsidR="00EC2687" w:rsidRPr="00884EA3" w:rsidRDefault="00EC2687" w:rsidP="00EC2687">
            <w:pPr>
              <w:spacing w:before="60" w:after="60"/>
              <w:jc w:val="center"/>
            </w:pPr>
            <w:r>
              <w:t>1.827.000</w:t>
            </w:r>
          </w:p>
        </w:tc>
        <w:tc>
          <w:tcPr>
            <w:tcW w:w="2515" w:type="dxa"/>
            <w:tcBorders>
              <w:top w:val="nil"/>
              <w:left w:val="nil"/>
              <w:bottom w:val="single" w:sz="8" w:space="0" w:color="auto"/>
              <w:right w:val="single" w:sz="8" w:space="0" w:color="auto"/>
            </w:tcBorders>
            <w:vAlign w:val="center"/>
          </w:tcPr>
          <w:p w14:paraId="4ED6DC8C" w14:textId="716357C1" w:rsidR="00EC2687" w:rsidRDefault="00EC2687" w:rsidP="00EC2687">
            <w:pPr>
              <w:spacing w:before="60" w:after="60"/>
              <w:jc w:val="center"/>
            </w:pPr>
            <w:r>
              <w:rPr>
                <w:color w:val="000000"/>
              </w:rPr>
              <w:t>7.662.500</w:t>
            </w:r>
          </w:p>
        </w:tc>
      </w:tr>
      <w:tr w:rsidR="00EC2687" w:rsidRPr="00884EA3" w14:paraId="09EC38A3" w14:textId="23D7C62C" w:rsidTr="00EC2687">
        <w:trPr>
          <w:jc w:val="center"/>
        </w:trPr>
        <w:tc>
          <w:tcPr>
            <w:tcW w:w="2523" w:type="dxa"/>
            <w:shd w:val="clear" w:color="auto" w:fill="C6D9F1" w:themeFill="text2" w:themeFillTint="33"/>
          </w:tcPr>
          <w:p w14:paraId="53C3233B" w14:textId="77777777" w:rsidR="00EC2687" w:rsidRPr="00884EA3" w:rsidRDefault="00EC2687" w:rsidP="00EC2687">
            <w:pPr>
              <w:spacing w:before="60" w:after="60"/>
              <w:jc w:val="left"/>
              <w:rPr>
                <w:b/>
                <w:bCs/>
              </w:rPr>
            </w:pPr>
            <w:r w:rsidRPr="00884EA3">
              <w:rPr>
                <w:b/>
                <w:bCs/>
              </w:rPr>
              <w:t>Prosječna cijena</w:t>
            </w:r>
          </w:p>
        </w:tc>
        <w:tc>
          <w:tcPr>
            <w:tcW w:w="2594" w:type="dxa"/>
            <w:tcBorders>
              <w:top w:val="single" w:sz="4" w:space="0" w:color="auto"/>
              <w:left w:val="single" w:sz="4" w:space="0" w:color="auto"/>
              <w:bottom w:val="single" w:sz="4" w:space="0" w:color="auto"/>
              <w:right w:val="single" w:sz="4" w:space="0" w:color="auto"/>
            </w:tcBorders>
            <w:vAlign w:val="center"/>
          </w:tcPr>
          <w:p w14:paraId="002B820D" w14:textId="77777777" w:rsidR="00EC2687" w:rsidRDefault="00EC2687" w:rsidP="00EC2687">
            <w:pPr>
              <w:spacing w:before="60" w:after="60"/>
              <w:jc w:val="center"/>
            </w:pPr>
            <w:r>
              <w:t>54,18 EUR</w:t>
            </w:r>
          </w:p>
        </w:tc>
        <w:tc>
          <w:tcPr>
            <w:tcW w:w="2594" w:type="dxa"/>
            <w:vAlign w:val="center"/>
          </w:tcPr>
          <w:p w14:paraId="2028EA9E" w14:textId="77777777" w:rsidR="00EC2687" w:rsidRDefault="00EC2687" w:rsidP="00EC2687">
            <w:pPr>
              <w:spacing w:before="60" w:after="60"/>
              <w:jc w:val="center"/>
            </w:pPr>
            <w:r>
              <w:t>80,10 EUR</w:t>
            </w:r>
          </w:p>
        </w:tc>
        <w:tc>
          <w:tcPr>
            <w:tcW w:w="2641" w:type="dxa"/>
            <w:vAlign w:val="center"/>
          </w:tcPr>
          <w:p w14:paraId="5CBD6439" w14:textId="77777777" w:rsidR="00EC2687" w:rsidRPr="00884EA3" w:rsidRDefault="00EC2687" w:rsidP="00EC2687">
            <w:pPr>
              <w:spacing w:before="60" w:after="60"/>
              <w:jc w:val="center"/>
            </w:pPr>
            <w:r>
              <w:t>83,60 EUR</w:t>
            </w:r>
          </w:p>
        </w:tc>
        <w:tc>
          <w:tcPr>
            <w:tcW w:w="2521" w:type="dxa"/>
            <w:vAlign w:val="center"/>
          </w:tcPr>
          <w:p w14:paraId="68BAC91A" w14:textId="77777777" w:rsidR="00EC2687" w:rsidRPr="00884EA3" w:rsidRDefault="00EC2687" w:rsidP="00EC2687">
            <w:pPr>
              <w:spacing w:before="60" w:after="60"/>
              <w:jc w:val="center"/>
            </w:pPr>
            <w:r>
              <w:t>64,66 EUR</w:t>
            </w:r>
          </w:p>
        </w:tc>
        <w:tc>
          <w:tcPr>
            <w:tcW w:w="2515" w:type="dxa"/>
            <w:tcBorders>
              <w:top w:val="nil"/>
              <w:left w:val="nil"/>
              <w:bottom w:val="single" w:sz="8" w:space="0" w:color="auto"/>
              <w:right w:val="single" w:sz="8" w:space="0" w:color="auto"/>
            </w:tcBorders>
            <w:vAlign w:val="center"/>
          </w:tcPr>
          <w:p w14:paraId="27DA3B43" w14:textId="0B2A8632" w:rsidR="00EC2687" w:rsidRDefault="00EC2687" w:rsidP="00EC2687">
            <w:pPr>
              <w:spacing w:before="60" w:after="60"/>
              <w:jc w:val="center"/>
            </w:pPr>
            <w:r>
              <w:rPr>
                <w:color w:val="000000"/>
              </w:rPr>
              <w:t>70,635</w:t>
            </w:r>
          </w:p>
        </w:tc>
      </w:tr>
      <w:tr w:rsidR="00EC2687" w:rsidRPr="00884EA3" w14:paraId="1833D032" w14:textId="7A20326F" w:rsidTr="00EC2687">
        <w:trPr>
          <w:jc w:val="center"/>
        </w:trPr>
        <w:tc>
          <w:tcPr>
            <w:tcW w:w="2523" w:type="dxa"/>
            <w:shd w:val="clear" w:color="auto" w:fill="C6D9F1" w:themeFill="text2" w:themeFillTint="33"/>
          </w:tcPr>
          <w:p w14:paraId="46457325" w14:textId="77777777" w:rsidR="00EC2687" w:rsidRPr="00884EA3" w:rsidRDefault="00EC2687" w:rsidP="00EC2687">
            <w:pPr>
              <w:spacing w:before="60" w:after="60"/>
              <w:jc w:val="left"/>
              <w:rPr>
                <w:b/>
                <w:bCs/>
              </w:rPr>
            </w:pPr>
            <w:r w:rsidRPr="00884EA3">
              <w:rPr>
                <w:b/>
                <w:bCs/>
              </w:rPr>
              <w:t>Ostvarena financijska sredstva</w:t>
            </w:r>
          </w:p>
        </w:tc>
        <w:tc>
          <w:tcPr>
            <w:tcW w:w="2594" w:type="dxa"/>
            <w:tcBorders>
              <w:top w:val="single" w:sz="4" w:space="0" w:color="auto"/>
              <w:left w:val="single" w:sz="4" w:space="0" w:color="auto"/>
              <w:bottom w:val="single" w:sz="4" w:space="0" w:color="auto"/>
              <w:right w:val="single" w:sz="4" w:space="0" w:color="auto"/>
            </w:tcBorders>
            <w:vAlign w:val="center"/>
          </w:tcPr>
          <w:p w14:paraId="715F398A" w14:textId="77777777" w:rsidR="00EC2687" w:rsidRDefault="00EC2687" w:rsidP="00EC2687">
            <w:pPr>
              <w:spacing w:before="60" w:after="60"/>
              <w:jc w:val="center"/>
            </w:pPr>
            <w:r>
              <w:t>112.242.820,00 EUR</w:t>
            </w:r>
          </w:p>
        </w:tc>
        <w:tc>
          <w:tcPr>
            <w:tcW w:w="2594" w:type="dxa"/>
            <w:vAlign w:val="center"/>
          </w:tcPr>
          <w:p w14:paraId="6D2F60EF" w14:textId="77777777" w:rsidR="00EC2687" w:rsidRDefault="00EC2687" w:rsidP="00EC2687">
            <w:pPr>
              <w:spacing w:before="60" w:after="60"/>
              <w:jc w:val="center"/>
            </w:pPr>
            <w:r w:rsidRPr="00F56950">
              <w:t>143</w:t>
            </w:r>
            <w:r>
              <w:t>.</w:t>
            </w:r>
            <w:r w:rsidRPr="00F56950">
              <w:t>309</w:t>
            </w:r>
            <w:r>
              <w:t>.</w:t>
            </w:r>
            <w:r w:rsidRPr="00F56950">
              <w:t>729</w:t>
            </w:r>
            <w:r>
              <w:t>,</w:t>
            </w:r>
            <w:r w:rsidRPr="00F56950">
              <w:t>36</w:t>
            </w:r>
            <w:r>
              <w:t xml:space="preserve"> EUR</w:t>
            </w:r>
          </w:p>
        </w:tc>
        <w:tc>
          <w:tcPr>
            <w:tcW w:w="2641" w:type="dxa"/>
            <w:vAlign w:val="center"/>
          </w:tcPr>
          <w:p w14:paraId="4DA6B020" w14:textId="77777777" w:rsidR="00EC2687" w:rsidRPr="00884EA3" w:rsidRDefault="00EC2687" w:rsidP="00EC2687">
            <w:pPr>
              <w:spacing w:before="60" w:after="60"/>
              <w:jc w:val="right"/>
            </w:pPr>
            <w:r>
              <w:t>158.909.900,00 EUR</w:t>
            </w:r>
          </w:p>
        </w:tc>
        <w:tc>
          <w:tcPr>
            <w:tcW w:w="2521" w:type="dxa"/>
            <w:vAlign w:val="center"/>
          </w:tcPr>
          <w:p w14:paraId="0EBFACD8" w14:textId="77777777" w:rsidR="00EC2687" w:rsidRPr="00884EA3" w:rsidRDefault="00EC2687" w:rsidP="00EC2687">
            <w:pPr>
              <w:spacing w:before="60" w:after="60"/>
              <w:jc w:val="center"/>
            </w:pPr>
            <w:r>
              <w:t>118.302.385,00 EUR</w:t>
            </w:r>
          </w:p>
        </w:tc>
        <w:tc>
          <w:tcPr>
            <w:tcW w:w="2515" w:type="dxa"/>
            <w:tcBorders>
              <w:top w:val="nil"/>
              <w:left w:val="nil"/>
              <w:bottom w:val="single" w:sz="8" w:space="0" w:color="auto"/>
              <w:right w:val="single" w:sz="8" w:space="0" w:color="auto"/>
            </w:tcBorders>
            <w:vAlign w:val="center"/>
          </w:tcPr>
          <w:p w14:paraId="403BB5E6" w14:textId="796AE209" w:rsidR="00EC2687" w:rsidRDefault="00EC2687" w:rsidP="00EC2687">
            <w:pPr>
              <w:spacing w:before="60" w:after="60"/>
              <w:jc w:val="center"/>
            </w:pPr>
            <w:r>
              <w:rPr>
                <w:color w:val="000000"/>
              </w:rPr>
              <w:t>532.764.834,36</w:t>
            </w:r>
          </w:p>
        </w:tc>
      </w:tr>
      <w:tr w:rsidR="00EC2687" w:rsidRPr="00884EA3" w14:paraId="5AA72C2F" w14:textId="4DBE0FD8" w:rsidTr="00EC2687">
        <w:trPr>
          <w:jc w:val="center"/>
        </w:trPr>
        <w:tc>
          <w:tcPr>
            <w:tcW w:w="2523" w:type="dxa"/>
            <w:shd w:val="clear" w:color="auto" w:fill="C6D9F1" w:themeFill="text2" w:themeFillTint="33"/>
          </w:tcPr>
          <w:p w14:paraId="16C6DE31" w14:textId="77777777" w:rsidR="00EC2687" w:rsidRPr="00884EA3" w:rsidRDefault="00EC2687" w:rsidP="00EC2687">
            <w:pPr>
              <w:spacing w:before="60" w:after="60"/>
              <w:jc w:val="left"/>
              <w:rPr>
                <w:b/>
                <w:bCs/>
              </w:rPr>
            </w:pPr>
            <w:r w:rsidRPr="00884EA3">
              <w:rPr>
                <w:b/>
                <w:bCs/>
              </w:rPr>
              <w:t>Raspodjela sredstava (5 % se raspoređuje prema Ugovoru)</w:t>
            </w:r>
          </w:p>
        </w:tc>
        <w:tc>
          <w:tcPr>
            <w:tcW w:w="2594" w:type="dxa"/>
            <w:vAlign w:val="center"/>
          </w:tcPr>
          <w:p w14:paraId="6646B0FA" w14:textId="77777777" w:rsidR="00EC2687" w:rsidRDefault="00EC2687" w:rsidP="00EC2687">
            <w:pPr>
              <w:spacing w:before="60" w:after="60"/>
              <w:jc w:val="center"/>
            </w:pPr>
            <w:r>
              <w:t>5.601.325,40 EUR</w:t>
            </w:r>
          </w:p>
        </w:tc>
        <w:tc>
          <w:tcPr>
            <w:tcW w:w="2594" w:type="dxa"/>
            <w:vAlign w:val="center"/>
          </w:tcPr>
          <w:p w14:paraId="410042FB" w14:textId="77777777" w:rsidR="00EC2687" w:rsidRDefault="00EC2687" w:rsidP="00EC2687">
            <w:pPr>
              <w:spacing w:before="60" w:after="60"/>
              <w:jc w:val="center"/>
            </w:pPr>
            <w:r>
              <w:t>7.165.486,46 EUR</w:t>
            </w:r>
          </w:p>
        </w:tc>
        <w:tc>
          <w:tcPr>
            <w:tcW w:w="2641" w:type="dxa"/>
            <w:vAlign w:val="center"/>
          </w:tcPr>
          <w:p w14:paraId="4216810F" w14:textId="77777777" w:rsidR="00EC2687" w:rsidRPr="00884EA3" w:rsidRDefault="00EC2687" w:rsidP="00EC2687">
            <w:pPr>
              <w:spacing w:before="60" w:after="60"/>
              <w:jc w:val="right"/>
            </w:pPr>
            <w:r>
              <w:t>7.945.495,00 EUR</w:t>
            </w:r>
          </w:p>
        </w:tc>
        <w:tc>
          <w:tcPr>
            <w:tcW w:w="2521" w:type="dxa"/>
            <w:vAlign w:val="center"/>
          </w:tcPr>
          <w:p w14:paraId="7461E92C" w14:textId="77777777" w:rsidR="00EC2687" w:rsidRPr="00884EA3" w:rsidRDefault="00EC2687" w:rsidP="00EC2687">
            <w:pPr>
              <w:spacing w:before="60" w:after="60"/>
              <w:jc w:val="right"/>
            </w:pPr>
            <w:r>
              <w:t>5.915.119,25 EUR</w:t>
            </w:r>
          </w:p>
        </w:tc>
        <w:tc>
          <w:tcPr>
            <w:tcW w:w="2515" w:type="dxa"/>
            <w:tcBorders>
              <w:top w:val="nil"/>
              <w:left w:val="nil"/>
              <w:bottom w:val="single" w:sz="8" w:space="0" w:color="auto"/>
              <w:right w:val="single" w:sz="8" w:space="0" w:color="auto"/>
            </w:tcBorders>
            <w:vAlign w:val="center"/>
          </w:tcPr>
          <w:p w14:paraId="0F72C2C3" w14:textId="09E8A871" w:rsidR="00EC2687" w:rsidRDefault="00EC2687" w:rsidP="00EC2687">
            <w:pPr>
              <w:spacing w:before="60" w:after="60"/>
              <w:jc w:val="right"/>
            </w:pPr>
            <w:r>
              <w:rPr>
                <w:color w:val="000000"/>
              </w:rPr>
              <w:t>26.627.426,11 EUR</w:t>
            </w:r>
          </w:p>
        </w:tc>
      </w:tr>
      <w:tr w:rsidR="00EC2687" w:rsidRPr="00884EA3" w14:paraId="35C40C90" w14:textId="40A67EE4" w:rsidTr="00EC2687">
        <w:trPr>
          <w:jc w:val="center"/>
        </w:trPr>
        <w:tc>
          <w:tcPr>
            <w:tcW w:w="2523" w:type="dxa"/>
            <w:shd w:val="clear" w:color="auto" w:fill="C6D9F1" w:themeFill="text2" w:themeFillTint="33"/>
          </w:tcPr>
          <w:p w14:paraId="5A56E781" w14:textId="77777777" w:rsidR="00EC2687" w:rsidRPr="00884EA3" w:rsidRDefault="00EC2687" w:rsidP="00EC2687">
            <w:pPr>
              <w:spacing w:before="60" w:after="60"/>
              <w:jc w:val="left"/>
              <w:rPr>
                <w:b/>
                <w:bCs/>
              </w:rPr>
            </w:pPr>
            <w:r w:rsidRPr="00884EA3">
              <w:rPr>
                <w:b/>
                <w:bCs/>
              </w:rPr>
              <w:t>M</w:t>
            </w:r>
            <w:r>
              <w:rPr>
                <w:b/>
                <w:bCs/>
              </w:rPr>
              <w:t>ZOZT</w:t>
            </w:r>
          </w:p>
        </w:tc>
        <w:tc>
          <w:tcPr>
            <w:tcW w:w="2594" w:type="dxa"/>
            <w:vAlign w:val="center"/>
          </w:tcPr>
          <w:p w14:paraId="52FC374C" w14:textId="77777777" w:rsidR="00EC2687" w:rsidRDefault="00EC2687" w:rsidP="00EC2687">
            <w:pPr>
              <w:spacing w:before="60" w:after="60"/>
              <w:jc w:val="center"/>
            </w:pPr>
            <w:r>
              <w:t>4.969.680,72 EUR</w:t>
            </w:r>
          </w:p>
        </w:tc>
        <w:tc>
          <w:tcPr>
            <w:tcW w:w="2594" w:type="dxa"/>
            <w:vAlign w:val="center"/>
          </w:tcPr>
          <w:p w14:paraId="30E24CFB" w14:textId="77777777" w:rsidR="00EC2687" w:rsidRDefault="00EC2687" w:rsidP="00EC2687">
            <w:pPr>
              <w:spacing w:before="60" w:after="60"/>
              <w:jc w:val="center"/>
            </w:pPr>
            <w:r w:rsidRPr="00D71324">
              <w:t>6</w:t>
            </w:r>
            <w:r>
              <w:t>.</w:t>
            </w:r>
            <w:r w:rsidRPr="00D71324">
              <w:t>090</w:t>
            </w:r>
            <w:r>
              <w:t>.</w:t>
            </w:r>
            <w:r w:rsidRPr="00D71324">
              <w:t>663</w:t>
            </w:r>
            <w:r>
              <w:t>,</w:t>
            </w:r>
            <w:r w:rsidRPr="00D71324">
              <w:t>47</w:t>
            </w:r>
            <w:r>
              <w:t xml:space="preserve"> EUR</w:t>
            </w:r>
          </w:p>
        </w:tc>
        <w:tc>
          <w:tcPr>
            <w:tcW w:w="2641" w:type="dxa"/>
            <w:vAlign w:val="center"/>
          </w:tcPr>
          <w:p w14:paraId="74B00203" w14:textId="77777777" w:rsidR="00EC2687" w:rsidRPr="00884EA3" w:rsidRDefault="00EC2687" w:rsidP="00EC2687">
            <w:pPr>
              <w:spacing w:before="60" w:after="60"/>
              <w:jc w:val="right"/>
            </w:pPr>
            <w:r>
              <w:t>6.753.670,88 EUR</w:t>
            </w:r>
          </w:p>
        </w:tc>
        <w:tc>
          <w:tcPr>
            <w:tcW w:w="2521" w:type="dxa"/>
            <w:vAlign w:val="center"/>
          </w:tcPr>
          <w:p w14:paraId="1F4A1C36" w14:textId="77777777" w:rsidR="00EC2687" w:rsidRPr="00884EA3" w:rsidRDefault="00EC2687" w:rsidP="00EC2687">
            <w:pPr>
              <w:spacing w:before="60" w:after="60"/>
              <w:jc w:val="right"/>
            </w:pPr>
            <w:r>
              <w:t>5.027.851,46 EUR</w:t>
            </w:r>
          </w:p>
        </w:tc>
        <w:tc>
          <w:tcPr>
            <w:tcW w:w="2515" w:type="dxa"/>
            <w:tcBorders>
              <w:top w:val="nil"/>
              <w:left w:val="nil"/>
              <w:bottom w:val="single" w:sz="8" w:space="0" w:color="auto"/>
              <w:right w:val="single" w:sz="8" w:space="0" w:color="auto"/>
            </w:tcBorders>
            <w:vAlign w:val="center"/>
          </w:tcPr>
          <w:p w14:paraId="4E5ED8AE" w14:textId="1249E312" w:rsidR="00EC2687" w:rsidRDefault="00EC2687" w:rsidP="00EC2687">
            <w:pPr>
              <w:spacing w:before="60" w:after="60"/>
              <w:jc w:val="right"/>
            </w:pPr>
            <w:r>
              <w:rPr>
                <w:color w:val="000000"/>
              </w:rPr>
              <w:t>22.841.866,53 EUR</w:t>
            </w:r>
          </w:p>
        </w:tc>
      </w:tr>
      <w:tr w:rsidR="00EC2687" w:rsidRPr="00884EA3" w14:paraId="3FC49437" w14:textId="27AB5B9C" w:rsidTr="00EC2687">
        <w:trPr>
          <w:jc w:val="center"/>
        </w:trPr>
        <w:tc>
          <w:tcPr>
            <w:tcW w:w="2523" w:type="dxa"/>
            <w:shd w:val="clear" w:color="auto" w:fill="C6D9F1" w:themeFill="text2" w:themeFillTint="33"/>
          </w:tcPr>
          <w:p w14:paraId="3D22B1E0" w14:textId="03E719F3" w:rsidR="00EC2687" w:rsidRPr="00884EA3" w:rsidRDefault="00EC2687" w:rsidP="00EC2687">
            <w:pPr>
              <w:spacing w:before="60" w:after="60"/>
              <w:jc w:val="left"/>
              <w:rPr>
                <w:b/>
                <w:bCs/>
              </w:rPr>
            </w:pPr>
            <w:r>
              <w:rPr>
                <w:b/>
                <w:bCs/>
              </w:rPr>
              <w:t>FOND</w:t>
            </w:r>
          </w:p>
        </w:tc>
        <w:tc>
          <w:tcPr>
            <w:tcW w:w="2594" w:type="dxa"/>
            <w:vAlign w:val="center"/>
          </w:tcPr>
          <w:p w14:paraId="770EB5BD" w14:textId="77777777" w:rsidR="00EC2687" w:rsidRDefault="00EC2687" w:rsidP="00EC2687">
            <w:pPr>
              <w:spacing w:before="60" w:after="60"/>
              <w:jc w:val="center"/>
            </w:pPr>
            <w:r>
              <w:t>631.644,69 EUR</w:t>
            </w:r>
          </w:p>
        </w:tc>
        <w:tc>
          <w:tcPr>
            <w:tcW w:w="2594" w:type="dxa"/>
            <w:vAlign w:val="center"/>
          </w:tcPr>
          <w:p w14:paraId="0A5F0BEC" w14:textId="77777777" w:rsidR="00EC2687" w:rsidRDefault="00EC2687" w:rsidP="00EC2687">
            <w:pPr>
              <w:spacing w:before="60" w:after="60"/>
              <w:jc w:val="center"/>
            </w:pPr>
            <w:r w:rsidRPr="00D71324">
              <w:t>1</w:t>
            </w:r>
            <w:r>
              <w:t>.</w:t>
            </w:r>
            <w:r w:rsidRPr="00D71324">
              <w:t>074</w:t>
            </w:r>
            <w:r>
              <w:t>.</w:t>
            </w:r>
            <w:r w:rsidRPr="00D71324">
              <w:t>822</w:t>
            </w:r>
            <w:r>
              <w:t>,</w:t>
            </w:r>
            <w:r w:rsidRPr="00D71324">
              <w:t>99</w:t>
            </w:r>
            <w:r>
              <w:t xml:space="preserve"> EUR</w:t>
            </w:r>
          </w:p>
        </w:tc>
        <w:tc>
          <w:tcPr>
            <w:tcW w:w="2641" w:type="dxa"/>
            <w:vAlign w:val="center"/>
          </w:tcPr>
          <w:p w14:paraId="7B5924BD" w14:textId="77777777" w:rsidR="00EC2687" w:rsidRPr="00884EA3" w:rsidRDefault="00EC2687" w:rsidP="00EC2687">
            <w:pPr>
              <w:spacing w:before="60" w:after="60"/>
              <w:jc w:val="right"/>
            </w:pPr>
            <w:r>
              <w:t>1.191.824,12 EUR</w:t>
            </w:r>
          </w:p>
        </w:tc>
        <w:tc>
          <w:tcPr>
            <w:tcW w:w="2521" w:type="dxa"/>
            <w:vAlign w:val="center"/>
          </w:tcPr>
          <w:p w14:paraId="25E355DB" w14:textId="77777777" w:rsidR="00EC2687" w:rsidRPr="00884EA3" w:rsidRDefault="00EC2687" w:rsidP="00EC2687">
            <w:pPr>
              <w:spacing w:before="60" w:after="60"/>
              <w:jc w:val="right"/>
            </w:pPr>
            <w:r>
              <w:t>887.267,79 EUR</w:t>
            </w:r>
          </w:p>
        </w:tc>
        <w:tc>
          <w:tcPr>
            <w:tcW w:w="2515" w:type="dxa"/>
            <w:tcBorders>
              <w:top w:val="nil"/>
              <w:left w:val="nil"/>
              <w:bottom w:val="single" w:sz="8" w:space="0" w:color="auto"/>
              <w:right w:val="single" w:sz="8" w:space="0" w:color="auto"/>
            </w:tcBorders>
            <w:vAlign w:val="center"/>
          </w:tcPr>
          <w:p w14:paraId="73E645B0" w14:textId="406E1345" w:rsidR="00EC2687" w:rsidRDefault="00EC2687" w:rsidP="00EC2687">
            <w:pPr>
              <w:spacing w:before="60" w:after="60"/>
              <w:jc w:val="right"/>
            </w:pPr>
            <w:r>
              <w:rPr>
                <w:color w:val="000000"/>
              </w:rPr>
              <w:t>3.785.559,59 EUR</w:t>
            </w:r>
          </w:p>
        </w:tc>
      </w:tr>
      <w:tr w:rsidR="00EC2687" w:rsidRPr="00884EA3" w14:paraId="2D9376AB" w14:textId="640C5EDB" w:rsidTr="00EC2687">
        <w:trPr>
          <w:trHeight w:val="861"/>
          <w:jc w:val="center"/>
        </w:trPr>
        <w:tc>
          <w:tcPr>
            <w:tcW w:w="2523" w:type="dxa"/>
            <w:shd w:val="clear" w:color="auto" w:fill="C6D9F1" w:themeFill="text2" w:themeFillTint="33"/>
          </w:tcPr>
          <w:p w14:paraId="7376C7E3" w14:textId="3D311B24" w:rsidR="00EC2687" w:rsidRPr="00884EA3" w:rsidRDefault="00EC2687" w:rsidP="00EC2687">
            <w:pPr>
              <w:spacing w:before="60" w:after="60"/>
              <w:jc w:val="left"/>
              <w:rPr>
                <w:b/>
                <w:bCs/>
              </w:rPr>
            </w:pPr>
            <w:r>
              <w:rPr>
                <w:b/>
                <w:bCs/>
              </w:rPr>
              <w:t>FOND</w:t>
            </w:r>
            <w:r w:rsidRPr="00884EA3">
              <w:rPr>
                <w:b/>
                <w:bCs/>
              </w:rPr>
              <w:t xml:space="preserve"> 95</w:t>
            </w:r>
            <w:r>
              <w:rPr>
                <w:b/>
                <w:bCs/>
              </w:rPr>
              <w:t xml:space="preserve"> </w:t>
            </w:r>
            <w:r w:rsidRPr="00884EA3">
              <w:rPr>
                <w:b/>
                <w:bCs/>
              </w:rPr>
              <w:t>% prihod</w:t>
            </w:r>
            <w:r w:rsidR="00AF22F4">
              <w:rPr>
                <w:b/>
                <w:bCs/>
              </w:rPr>
              <w:t>a</w:t>
            </w:r>
            <w:r w:rsidRPr="00884EA3">
              <w:rPr>
                <w:b/>
                <w:bCs/>
              </w:rPr>
              <w:t xml:space="preserve"> </w:t>
            </w:r>
            <w:r w:rsidR="00AF22F4">
              <w:rPr>
                <w:b/>
                <w:bCs/>
              </w:rPr>
              <w:t>za projekte iz Plana II.</w:t>
            </w:r>
          </w:p>
        </w:tc>
        <w:tc>
          <w:tcPr>
            <w:tcW w:w="2594" w:type="dxa"/>
            <w:vAlign w:val="center"/>
          </w:tcPr>
          <w:p w14:paraId="2EDF3B5D" w14:textId="77777777" w:rsidR="00EC2687" w:rsidRPr="00E667F2" w:rsidRDefault="00EC2687" w:rsidP="00EC2687">
            <w:pPr>
              <w:spacing w:before="60" w:after="60"/>
              <w:jc w:val="center"/>
              <w:rPr>
                <w:b/>
              </w:rPr>
            </w:pPr>
            <w:r>
              <w:rPr>
                <w:b/>
              </w:rPr>
              <w:t>106.425.182,61 EUR</w:t>
            </w:r>
          </w:p>
        </w:tc>
        <w:tc>
          <w:tcPr>
            <w:tcW w:w="2594" w:type="dxa"/>
            <w:vAlign w:val="center"/>
          </w:tcPr>
          <w:p w14:paraId="44F527D7" w14:textId="77777777" w:rsidR="00EC2687" w:rsidRPr="00E667F2" w:rsidRDefault="00EC2687" w:rsidP="00EC2687">
            <w:pPr>
              <w:spacing w:before="60" w:after="60"/>
              <w:jc w:val="center"/>
              <w:rPr>
                <w:b/>
              </w:rPr>
            </w:pPr>
            <w:r w:rsidRPr="0029116C">
              <w:rPr>
                <w:b/>
              </w:rPr>
              <w:t>136</w:t>
            </w:r>
            <w:r>
              <w:rPr>
                <w:b/>
              </w:rPr>
              <w:t>.</w:t>
            </w:r>
            <w:r w:rsidRPr="0029116C">
              <w:rPr>
                <w:b/>
              </w:rPr>
              <w:t>144</w:t>
            </w:r>
            <w:r>
              <w:rPr>
                <w:b/>
              </w:rPr>
              <w:t>.</w:t>
            </w:r>
            <w:r w:rsidRPr="0029116C">
              <w:rPr>
                <w:b/>
              </w:rPr>
              <w:t>242</w:t>
            </w:r>
            <w:r>
              <w:rPr>
                <w:b/>
              </w:rPr>
              <w:t>,</w:t>
            </w:r>
            <w:r w:rsidRPr="0029116C">
              <w:rPr>
                <w:b/>
              </w:rPr>
              <w:t>9</w:t>
            </w:r>
            <w:r>
              <w:rPr>
                <w:b/>
              </w:rPr>
              <w:t>0 EUR</w:t>
            </w:r>
          </w:p>
        </w:tc>
        <w:tc>
          <w:tcPr>
            <w:tcW w:w="2641" w:type="dxa"/>
            <w:vAlign w:val="center"/>
          </w:tcPr>
          <w:p w14:paraId="0C0640C5" w14:textId="77777777" w:rsidR="00EC2687" w:rsidRPr="00E667F2" w:rsidRDefault="00EC2687" w:rsidP="00EC2687">
            <w:pPr>
              <w:spacing w:before="60" w:after="60"/>
              <w:jc w:val="right"/>
              <w:rPr>
                <w:b/>
              </w:rPr>
            </w:pPr>
            <w:r w:rsidRPr="00E667F2">
              <w:rPr>
                <w:b/>
              </w:rPr>
              <w:t>150.964.405,00 EUR</w:t>
            </w:r>
          </w:p>
        </w:tc>
        <w:tc>
          <w:tcPr>
            <w:tcW w:w="2521" w:type="dxa"/>
            <w:vAlign w:val="center"/>
          </w:tcPr>
          <w:p w14:paraId="66EF7AFD" w14:textId="77777777" w:rsidR="00EC2687" w:rsidRPr="00884EA3" w:rsidRDefault="00EC2687" w:rsidP="00EC2687">
            <w:pPr>
              <w:spacing w:before="60" w:after="60"/>
              <w:jc w:val="right"/>
              <w:rPr>
                <w:b/>
              </w:rPr>
            </w:pPr>
            <w:r>
              <w:rPr>
                <w:b/>
              </w:rPr>
              <w:t>112.387.265,75 EUR</w:t>
            </w:r>
          </w:p>
        </w:tc>
        <w:tc>
          <w:tcPr>
            <w:tcW w:w="2515" w:type="dxa"/>
            <w:tcBorders>
              <w:top w:val="nil"/>
              <w:left w:val="nil"/>
              <w:bottom w:val="single" w:sz="8" w:space="0" w:color="auto"/>
              <w:right w:val="single" w:sz="8" w:space="0" w:color="auto"/>
            </w:tcBorders>
            <w:vAlign w:val="center"/>
          </w:tcPr>
          <w:p w14:paraId="499FE361" w14:textId="1E7C7F3A" w:rsidR="00EC2687" w:rsidRPr="00EC2687" w:rsidRDefault="00EC2687" w:rsidP="00EC2687">
            <w:pPr>
              <w:spacing w:before="60" w:after="60"/>
              <w:jc w:val="right"/>
              <w:rPr>
                <w:b/>
                <w:bCs/>
              </w:rPr>
            </w:pPr>
            <w:r w:rsidRPr="00EC2687">
              <w:rPr>
                <w:b/>
                <w:bCs/>
                <w:color w:val="000000"/>
              </w:rPr>
              <w:t>505.921.096,26 EUR</w:t>
            </w:r>
          </w:p>
        </w:tc>
      </w:tr>
    </w:tbl>
    <w:p w14:paraId="3338384C" w14:textId="77777777" w:rsidR="00952BB6" w:rsidRPr="00952BB6" w:rsidRDefault="00952BB6" w:rsidP="00952BB6">
      <w:pPr>
        <w:spacing w:after="0" w:line="240" w:lineRule="auto"/>
      </w:pPr>
    </w:p>
    <w:p w14:paraId="0ED47CBA" w14:textId="77777777" w:rsidR="00952BB6" w:rsidRPr="00952BB6" w:rsidRDefault="00952BB6" w:rsidP="00952BB6">
      <w:pPr>
        <w:spacing w:after="0" w:line="240" w:lineRule="auto"/>
      </w:pPr>
    </w:p>
    <w:p w14:paraId="792B6AE4" w14:textId="756BE31B" w:rsidR="00923726" w:rsidRPr="00174A96" w:rsidRDefault="00923726" w:rsidP="00952BB6">
      <w:pPr>
        <w:jc w:val="left"/>
      </w:pPr>
    </w:p>
    <w:sectPr w:rsidR="00923726" w:rsidRPr="00174A96" w:rsidSect="00952BB6">
      <w:headerReference w:type="default" r:id="rId24"/>
      <w:footerReference w:type="default" r:id="rId25"/>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BBF5F" w14:textId="77777777" w:rsidR="009A054D" w:rsidRDefault="009A054D" w:rsidP="0055154B">
      <w:pPr>
        <w:spacing w:after="0" w:line="240" w:lineRule="auto"/>
      </w:pPr>
      <w:r>
        <w:separator/>
      </w:r>
    </w:p>
  </w:endnote>
  <w:endnote w:type="continuationSeparator" w:id="0">
    <w:p w14:paraId="1A8CD368" w14:textId="77777777" w:rsidR="009A054D" w:rsidRDefault="009A054D" w:rsidP="00551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326477"/>
      <w:docPartObj>
        <w:docPartGallery w:val="Page Numbers (Bottom of Page)"/>
        <w:docPartUnique/>
      </w:docPartObj>
    </w:sdtPr>
    <w:sdtContent>
      <w:p w14:paraId="33D70807" w14:textId="6B2C013B" w:rsidR="003376E7" w:rsidRDefault="003376E7">
        <w:pPr>
          <w:pStyle w:val="Podnoje"/>
          <w:jc w:val="right"/>
        </w:pPr>
        <w:r>
          <w:fldChar w:fldCharType="begin"/>
        </w:r>
        <w:r>
          <w:instrText>PAGE   \* MERGEFORMAT</w:instrText>
        </w:r>
        <w:r>
          <w:fldChar w:fldCharType="separate"/>
        </w:r>
        <w:r>
          <w:t>2</w:t>
        </w:r>
        <w:r>
          <w:fldChar w:fldCharType="end"/>
        </w:r>
      </w:p>
    </w:sdtContent>
  </w:sdt>
  <w:p w14:paraId="08F7112E" w14:textId="50CBC1CF" w:rsidR="008D1D1C" w:rsidRDefault="008D1D1C">
    <w:pPr>
      <w:pStyle w:val="Podnoj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451283"/>
      <w:docPartObj>
        <w:docPartGallery w:val="Page Numbers (Bottom of Page)"/>
        <w:docPartUnique/>
      </w:docPartObj>
    </w:sdtPr>
    <w:sdtContent>
      <w:p w14:paraId="067F9BF0" w14:textId="77777777" w:rsidR="00952BB6" w:rsidRDefault="00952BB6">
        <w:pPr>
          <w:pStyle w:val="Podnoje"/>
          <w:jc w:val="right"/>
        </w:pPr>
        <w:r>
          <w:fldChar w:fldCharType="begin"/>
        </w:r>
        <w:r>
          <w:instrText>PAGE   \* MERGEFORMAT</w:instrText>
        </w:r>
        <w:r>
          <w:fldChar w:fldCharType="separate"/>
        </w:r>
        <w:r>
          <w:t>2</w:t>
        </w:r>
        <w:r>
          <w:fldChar w:fldCharType="end"/>
        </w:r>
      </w:p>
    </w:sdtContent>
  </w:sdt>
  <w:p w14:paraId="688DF6D0" w14:textId="77777777" w:rsidR="00952BB6" w:rsidRDefault="00952BB6">
    <w:pPr>
      <w:pStyle w:val="Podnoj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07409"/>
      <w:docPartObj>
        <w:docPartGallery w:val="Page Numbers (Bottom of Page)"/>
        <w:docPartUnique/>
      </w:docPartObj>
    </w:sdtPr>
    <w:sdtContent>
      <w:p w14:paraId="1A10909E" w14:textId="77777777" w:rsidR="00952BB6" w:rsidRDefault="00952BB6">
        <w:pPr>
          <w:pStyle w:val="Podnoje"/>
          <w:jc w:val="right"/>
        </w:pPr>
        <w:r>
          <w:fldChar w:fldCharType="begin"/>
        </w:r>
        <w:r>
          <w:instrText>PAGE   \* MERGEFORMAT</w:instrText>
        </w:r>
        <w:r>
          <w:fldChar w:fldCharType="separate"/>
        </w:r>
        <w:r>
          <w:t>2</w:t>
        </w:r>
        <w:r>
          <w:fldChar w:fldCharType="end"/>
        </w:r>
      </w:p>
    </w:sdtContent>
  </w:sdt>
  <w:p w14:paraId="0888C0B0" w14:textId="77777777" w:rsidR="00952BB6" w:rsidRDefault="00952BB6">
    <w:pPr>
      <w:pStyle w:val="Podnoje"/>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808750"/>
      <w:docPartObj>
        <w:docPartGallery w:val="Page Numbers (Bottom of Page)"/>
        <w:docPartUnique/>
      </w:docPartObj>
    </w:sdtPr>
    <w:sdtContent>
      <w:p w14:paraId="19A863EF" w14:textId="77777777" w:rsidR="00952BB6" w:rsidRDefault="00952BB6">
        <w:pPr>
          <w:pStyle w:val="Podnoje"/>
          <w:jc w:val="right"/>
        </w:pPr>
        <w:r>
          <w:fldChar w:fldCharType="begin"/>
        </w:r>
        <w:r>
          <w:instrText>PAGE   \* MERGEFORMAT</w:instrText>
        </w:r>
        <w:r>
          <w:fldChar w:fldCharType="separate"/>
        </w:r>
        <w:r>
          <w:t>2</w:t>
        </w:r>
        <w:r>
          <w:fldChar w:fldCharType="end"/>
        </w:r>
      </w:p>
    </w:sdtContent>
  </w:sdt>
  <w:p w14:paraId="6C0E95BF" w14:textId="77777777" w:rsidR="00952BB6" w:rsidRDefault="00952BB6">
    <w:pPr>
      <w:pStyle w:val="Podnoje"/>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422117"/>
      <w:docPartObj>
        <w:docPartGallery w:val="Page Numbers (Bottom of Page)"/>
        <w:docPartUnique/>
      </w:docPartObj>
    </w:sdtPr>
    <w:sdtContent>
      <w:p w14:paraId="5BDF0C8F" w14:textId="77777777" w:rsidR="00C228B7" w:rsidRDefault="00C228B7">
        <w:pPr>
          <w:pStyle w:val="Podnoje"/>
          <w:jc w:val="right"/>
        </w:pPr>
        <w:r>
          <w:fldChar w:fldCharType="begin"/>
        </w:r>
        <w:r>
          <w:instrText>PAGE   \* MERGEFORMAT</w:instrText>
        </w:r>
        <w:r>
          <w:fldChar w:fldCharType="separate"/>
        </w:r>
        <w:r>
          <w:t>2</w:t>
        </w:r>
        <w:r>
          <w:fldChar w:fldCharType="end"/>
        </w:r>
      </w:p>
    </w:sdtContent>
  </w:sdt>
  <w:p w14:paraId="16F1C057" w14:textId="77777777" w:rsidR="00C228B7" w:rsidRDefault="00C228B7">
    <w:pPr>
      <w:pStyle w:val="Podnoje"/>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935693"/>
      <w:docPartObj>
        <w:docPartGallery w:val="Page Numbers (Bottom of Page)"/>
        <w:docPartUnique/>
      </w:docPartObj>
    </w:sdtPr>
    <w:sdtContent>
      <w:p w14:paraId="05F256DC" w14:textId="77777777" w:rsidR="00952BB6" w:rsidRDefault="00952BB6">
        <w:pPr>
          <w:pStyle w:val="Podnoje"/>
          <w:jc w:val="right"/>
        </w:pPr>
        <w:r>
          <w:fldChar w:fldCharType="begin"/>
        </w:r>
        <w:r>
          <w:instrText>PAGE   \* MERGEFORMAT</w:instrText>
        </w:r>
        <w:r>
          <w:fldChar w:fldCharType="separate"/>
        </w:r>
        <w:r>
          <w:t>2</w:t>
        </w:r>
        <w:r>
          <w:fldChar w:fldCharType="end"/>
        </w:r>
      </w:p>
    </w:sdtContent>
  </w:sdt>
  <w:p w14:paraId="3CFAF935" w14:textId="77777777" w:rsidR="00952BB6" w:rsidRDefault="00952BB6">
    <w:pPr>
      <w:pStyle w:val="Podnoje"/>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024890"/>
      <w:docPartObj>
        <w:docPartGallery w:val="Page Numbers (Bottom of Page)"/>
        <w:docPartUnique/>
      </w:docPartObj>
    </w:sdtPr>
    <w:sdtContent>
      <w:p w14:paraId="43667ED5" w14:textId="77777777" w:rsidR="00952BB6" w:rsidRDefault="00952BB6">
        <w:pPr>
          <w:pStyle w:val="Podnoje"/>
          <w:jc w:val="right"/>
        </w:pPr>
        <w:r>
          <w:fldChar w:fldCharType="begin"/>
        </w:r>
        <w:r>
          <w:instrText>PAGE   \* MERGEFORMAT</w:instrText>
        </w:r>
        <w:r>
          <w:fldChar w:fldCharType="separate"/>
        </w:r>
        <w:r>
          <w:t>2</w:t>
        </w:r>
        <w:r>
          <w:fldChar w:fldCharType="end"/>
        </w:r>
      </w:p>
    </w:sdtContent>
  </w:sdt>
  <w:p w14:paraId="4E1C8E11" w14:textId="77777777" w:rsidR="00952BB6" w:rsidRDefault="00952BB6">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5E219" w14:textId="77777777" w:rsidR="009A054D" w:rsidRDefault="009A054D" w:rsidP="0055154B">
      <w:pPr>
        <w:spacing w:after="0" w:line="240" w:lineRule="auto"/>
      </w:pPr>
      <w:r>
        <w:separator/>
      </w:r>
    </w:p>
  </w:footnote>
  <w:footnote w:type="continuationSeparator" w:id="0">
    <w:p w14:paraId="69181358" w14:textId="77777777" w:rsidR="009A054D" w:rsidRDefault="009A054D" w:rsidP="00551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FC88" w14:textId="788F8501" w:rsidR="007B234F" w:rsidRDefault="007B234F">
    <w:pPr>
      <w:pStyle w:val="Zaglavlje"/>
    </w:pPr>
    <w:r>
      <w:rPr>
        <w:noProof/>
      </w:rPr>
      <mc:AlternateContent>
        <mc:Choice Requires="wps">
          <w:drawing>
            <wp:anchor distT="0" distB="0" distL="0" distR="0" simplePos="0" relativeHeight="251659264" behindDoc="0" locked="0" layoutInCell="1" allowOverlap="1" wp14:anchorId="34EE66A2" wp14:editId="1B903CDD">
              <wp:simplePos x="635" y="635"/>
              <wp:positionH relativeFrom="page">
                <wp:align>right</wp:align>
              </wp:positionH>
              <wp:positionV relativeFrom="page">
                <wp:align>top</wp:align>
              </wp:positionV>
              <wp:extent cx="2025015" cy="358140"/>
              <wp:effectExtent l="0" t="0" r="0" b="3810"/>
              <wp:wrapNone/>
              <wp:docPr id="290721700" name="Tekstni okvir 2" descr="Stupanj klasifikacije: SLUŽBE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25015" cy="358140"/>
                      </a:xfrm>
                      <a:prstGeom prst="rect">
                        <a:avLst/>
                      </a:prstGeom>
                      <a:noFill/>
                      <a:ln>
                        <a:noFill/>
                      </a:ln>
                    </wps:spPr>
                    <wps:txbx>
                      <w:txbxContent>
                        <w:p w14:paraId="09A97580" w14:textId="450D71E3" w:rsidR="007B234F" w:rsidRPr="007B234F" w:rsidRDefault="007B234F" w:rsidP="007B234F">
                          <w:pPr>
                            <w:spacing w:after="0"/>
                            <w:rPr>
                              <w:rFonts w:eastAsia="Times New Roman"/>
                              <w:noProof/>
                              <w:color w:val="1557B7"/>
                              <w:sz w:val="20"/>
                              <w:szCs w:val="20"/>
                            </w:rPr>
                          </w:pPr>
                          <w:r w:rsidRPr="007B234F">
                            <w:rPr>
                              <w:rFonts w:eastAsia="Times New Roman"/>
                              <w:noProof/>
                              <w:color w:val="1557B7"/>
                              <w:sz w:val="20"/>
                              <w:szCs w:val="20"/>
                            </w:rPr>
                            <w:t>Stupanj klasifikacije: SLUŽBENO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EE66A2" id="_x0000_t202" coordsize="21600,21600" o:spt="202" path="m,l,21600r21600,l21600,xe">
              <v:stroke joinstyle="miter"/>
              <v:path gradientshapeok="t" o:connecttype="rect"/>
            </v:shapetype>
            <v:shape id="Tekstni okvir 2" o:spid="_x0000_s1026" type="#_x0000_t202" alt="Stupanj klasifikacije: SLUŽBENO" style="position:absolute;left:0;text-align:left;margin-left:108.25pt;margin-top:0;width:159.45pt;height:28.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" filled="f" stroked="f">
              <v:textbox style="mso-fit-shape-to-text:t" inset="0,15pt,20pt,0">
                <w:txbxContent>
                  <w:p w14:paraId="09A97580" w14:textId="450D71E3" w:rsidR="007B234F" w:rsidRPr="007B234F" w:rsidRDefault="007B234F" w:rsidP="007B234F">
                    <w:pPr>
                      <w:spacing w:after="0"/>
                      <w:rPr>
                        <w:rFonts w:eastAsia="Times New Roman"/>
                        <w:noProof/>
                        <w:color w:val="1557B7"/>
                        <w:sz w:val="20"/>
                        <w:szCs w:val="20"/>
                      </w:rPr>
                    </w:pPr>
                    <w:r w:rsidRPr="007B234F">
                      <w:rPr>
                        <w:rFonts w:eastAsia="Times New Roman"/>
                        <w:noProof/>
                        <w:color w:val="1557B7"/>
                        <w:sz w:val="20"/>
                        <w:szCs w:val="20"/>
                      </w:rPr>
                      <w:t>Stupanj klasifikacije: SLUŽBENO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CD5C" w14:textId="1615BD3A" w:rsidR="008D1D1C" w:rsidRPr="00631FE1" w:rsidRDefault="007B234F">
    <w:pPr>
      <w:pStyle w:val="Zaglavlje"/>
      <w:rPr>
        <w:i/>
      </w:rPr>
    </w:pPr>
    <w:r>
      <w:rPr>
        <w:i/>
        <w:noProof/>
      </w:rPr>
      <mc:AlternateContent>
        <mc:Choice Requires="wps">
          <w:drawing>
            <wp:anchor distT="0" distB="0" distL="0" distR="0" simplePos="0" relativeHeight="251660288" behindDoc="0" locked="0" layoutInCell="1" allowOverlap="1" wp14:anchorId="5721FA60" wp14:editId="6CE2D1F6">
              <wp:simplePos x="0" y="0"/>
              <wp:positionH relativeFrom="page">
                <wp:posOffset>6877050</wp:posOffset>
              </wp:positionH>
              <wp:positionV relativeFrom="page">
                <wp:align>top</wp:align>
              </wp:positionV>
              <wp:extent cx="681990" cy="358140"/>
              <wp:effectExtent l="0" t="0" r="0" b="17780"/>
              <wp:wrapNone/>
              <wp:docPr id="915230891" name="Tekstni okvir 3" descr="Stupanj klasifikacije: SLUŽBE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1990" cy="358140"/>
                      </a:xfrm>
                      <a:prstGeom prst="rect">
                        <a:avLst/>
                      </a:prstGeom>
                      <a:noFill/>
                      <a:ln>
                        <a:noFill/>
                      </a:ln>
                    </wps:spPr>
                    <wps:txbx>
                      <w:txbxContent>
                        <w:p w14:paraId="58824A78" w14:textId="549DB151" w:rsidR="007B234F" w:rsidRPr="007B234F" w:rsidRDefault="007B234F" w:rsidP="007B234F">
                          <w:pPr>
                            <w:spacing w:after="0"/>
                            <w:rPr>
                              <w:rFonts w:eastAsia="Times New Roman"/>
                              <w:noProof/>
                              <w:color w:val="1557B7"/>
                              <w:sz w:val="20"/>
                              <w:szCs w:val="20"/>
                            </w:rPr>
                          </w:pPr>
                        </w:p>
                      </w:txbxContent>
                    </wps:txbx>
                    <wps:bodyPr rot="0" spcFirstLastPara="0" vertOverflow="overflow" horzOverflow="overflow" vert="horz" wrap="square" lIns="0" tIns="190500" rIns="25400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721FA60" id="_x0000_t202" coordsize="21600,21600" o:spt="202" path="m,l,21600r21600,l21600,xe">
              <v:stroke joinstyle="miter"/>
              <v:path gradientshapeok="t" o:connecttype="rect"/>
            </v:shapetype>
            <v:shape id="Tekstni okvir 3" o:spid="_x0000_s1027" type="#_x0000_t202" alt="Stupanj klasifikacije: SLUŽBENO" style="position:absolute;left:0;text-align:left;margin-left:541.5pt;margin-top:0;width:53.7pt;height:28.2pt;z-index:251660288;visibility:visible;mso-wrap-style:square;mso-width-percent:0;mso-wrap-distance-left:0;mso-wrap-distance-top:0;mso-wrap-distance-right:0;mso-wrap-distance-bottom:0;mso-position-horizontal:absolute;mso-position-horizontal-relative:page;mso-position-vertical:top;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" filled="f" stroked="f">
              <v:textbox style="mso-fit-shape-to-text:t" inset="0,15pt,20pt,0">
                <w:txbxContent>
                  <w:p w14:paraId="58824A78" w14:textId="549DB151" w:rsidR="007B234F" w:rsidRPr="007B234F" w:rsidRDefault="007B234F" w:rsidP="007B234F">
                    <w:pPr>
                      <w:spacing w:after="0"/>
                      <w:rPr>
                        <w:rFonts w:eastAsia="Times New Roman"/>
                        <w:noProof/>
                        <w:color w:val="1557B7"/>
                        <w:sz w:val="20"/>
                        <w:szCs w:val="20"/>
                      </w:rPr>
                    </w:pPr>
                  </w:p>
                </w:txbxContent>
              </v:textbox>
              <w10:wrap anchorx="page" anchory="page"/>
            </v:shape>
          </w:pict>
        </mc:Fallback>
      </mc:AlternateContent>
    </w:r>
    <w:r w:rsidR="008D1D1C">
      <w:rPr>
        <w:i/>
      </w:rPr>
      <w:tab/>
    </w:r>
    <w:r w:rsidR="008D1D1C">
      <w:rPr>
        <w:i/>
      </w:rPr>
      <w:tab/>
      <w:t>Izvješć</w:t>
    </w:r>
    <w:r w:rsidR="00D06E56">
      <w:rPr>
        <w:i/>
      </w:rPr>
      <w:t>e</w:t>
    </w:r>
    <w:r w:rsidR="008D1D1C">
      <w:rPr>
        <w:i/>
      </w:rPr>
      <w:t xml:space="preserve"> za </w:t>
    </w:r>
    <w:r w:rsidR="00A23A5C">
      <w:rPr>
        <w:i/>
      </w:rPr>
      <w:t>202</w:t>
    </w:r>
    <w:r>
      <w:rPr>
        <w:i/>
      </w:rPr>
      <w:t>3</w:t>
    </w:r>
    <w:r w:rsidR="00A23A5C">
      <w:rPr>
        <w:i/>
      </w:rPr>
      <w:t xml:space="preserve">. i </w:t>
    </w:r>
    <w:r w:rsidR="008D1D1C">
      <w:rPr>
        <w:i/>
      </w:rPr>
      <w:t>202</w:t>
    </w:r>
    <w:r>
      <w:rPr>
        <w:i/>
      </w:rPr>
      <w:t>4</w:t>
    </w:r>
    <w:r w:rsidR="008D1D1C" w:rsidRPr="00631FE1">
      <w:rPr>
        <w:i/>
      </w:rPr>
      <w:t>. godinu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9921" w14:textId="5F34524F" w:rsidR="00952BB6" w:rsidRPr="00631FE1" w:rsidRDefault="00952BB6">
    <w:pPr>
      <w:pStyle w:val="Zaglavlje"/>
      <w:rPr>
        <w:i/>
      </w:rPr>
    </w:pPr>
    <w:r>
      <w:rPr>
        <w:i/>
      </w:rPr>
      <w:tab/>
    </w:r>
    <w:r>
      <w:rPr>
        <w:i/>
      </w:rPr>
      <w:tab/>
      <w:t>Izvješće za 202</w:t>
    </w:r>
    <w:r w:rsidR="00D418DA">
      <w:rPr>
        <w:i/>
      </w:rPr>
      <w:t>3</w:t>
    </w:r>
    <w:r w:rsidRPr="00631FE1">
      <w:rPr>
        <w:i/>
      </w:rPr>
      <w:t>.</w:t>
    </w:r>
    <w:r>
      <w:rPr>
        <w:i/>
      </w:rPr>
      <w:t xml:space="preserve"> i 202</w:t>
    </w:r>
    <w:r w:rsidR="00D418DA">
      <w:rPr>
        <w:i/>
      </w:rPr>
      <w:t>4</w:t>
    </w:r>
    <w:r>
      <w:rPr>
        <w:i/>
      </w:rPr>
      <w:t>.</w:t>
    </w:r>
    <w:r w:rsidRPr="00631FE1">
      <w:rPr>
        <w:i/>
      </w:rPr>
      <w:t xml:space="preserve"> godinu</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5D81" w14:textId="223D892C" w:rsidR="00952BB6" w:rsidRPr="00631FE1" w:rsidRDefault="00952BB6">
    <w:pPr>
      <w:pStyle w:val="Zaglavlje"/>
      <w:rPr>
        <w:i/>
      </w:rPr>
    </w:pPr>
    <w:r>
      <w:rPr>
        <w:i/>
      </w:rPr>
      <w:tab/>
    </w:r>
    <w:r>
      <w:rPr>
        <w:i/>
      </w:rPr>
      <w:tab/>
    </w:r>
    <w:r>
      <w:rPr>
        <w:i/>
      </w:rPr>
      <w:tab/>
    </w:r>
    <w:r>
      <w:rPr>
        <w:i/>
      </w:rPr>
      <w:tab/>
    </w:r>
    <w:r>
      <w:rPr>
        <w:i/>
      </w:rPr>
      <w:tab/>
    </w:r>
    <w:r>
      <w:rPr>
        <w:i/>
      </w:rPr>
      <w:tab/>
      <w:t>Izvješće za 202</w:t>
    </w:r>
    <w:r w:rsidR="00D418DA">
      <w:rPr>
        <w:i/>
      </w:rPr>
      <w:t>3</w:t>
    </w:r>
    <w:r w:rsidRPr="00631FE1">
      <w:rPr>
        <w:i/>
      </w:rPr>
      <w:t>.</w:t>
    </w:r>
    <w:r>
      <w:rPr>
        <w:i/>
      </w:rPr>
      <w:t xml:space="preserve"> i 202</w:t>
    </w:r>
    <w:r w:rsidR="00D418DA">
      <w:rPr>
        <w:i/>
      </w:rPr>
      <w:t>4</w:t>
    </w:r>
    <w:r>
      <w:rPr>
        <w:i/>
      </w:rPr>
      <w:t>.</w:t>
    </w:r>
    <w:r w:rsidRPr="00631FE1">
      <w:rPr>
        <w:i/>
      </w:rPr>
      <w:t xml:space="preserve"> godinu</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613AE" w14:textId="427281B0" w:rsidR="00952BB6" w:rsidRPr="00631FE1" w:rsidRDefault="00952BB6">
    <w:pPr>
      <w:pStyle w:val="Zaglavlje"/>
      <w:rPr>
        <w:i/>
      </w:rPr>
    </w:pPr>
    <w:r>
      <w:rPr>
        <w:i/>
      </w:rPr>
      <w:tab/>
    </w:r>
    <w:r>
      <w:rPr>
        <w:i/>
      </w:rPr>
      <w:tab/>
      <w:t>Izvješće za 202</w:t>
    </w:r>
    <w:r w:rsidR="00FC3197">
      <w:rPr>
        <w:i/>
      </w:rPr>
      <w:t>3</w:t>
    </w:r>
    <w:r>
      <w:rPr>
        <w:i/>
      </w:rPr>
      <w:t>. i 202</w:t>
    </w:r>
    <w:r w:rsidR="00FC3197">
      <w:rPr>
        <w:i/>
      </w:rPr>
      <w:t>4</w:t>
    </w:r>
    <w:r w:rsidRPr="00631FE1">
      <w:rPr>
        <w:i/>
      </w:rPr>
      <w:t>. godinu</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348C" w14:textId="77777777" w:rsidR="00C228B7" w:rsidRPr="00631FE1" w:rsidRDefault="00C228B7" w:rsidP="008607B4">
    <w:pPr>
      <w:pStyle w:val="Zaglavlje"/>
      <w:tabs>
        <w:tab w:val="clear" w:pos="9072"/>
        <w:tab w:val="right" w:pos="14884"/>
      </w:tabs>
      <w:rPr>
        <w:i/>
      </w:rPr>
    </w:pPr>
    <w:r>
      <w:rPr>
        <w:i/>
        <w:noProof/>
      </w:rPr>
      <mc:AlternateContent>
        <mc:Choice Requires="wps">
          <w:drawing>
            <wp:anchor distT="0" distB="0" distL="0" distR="0" simplePos="0" relativeHeight="251664384" behindDoc="0" locked="0" layoutInCell="1" allowOverlap="1" wp14:anchorId="45539DDD" wp14:editId="33DBFF67">
              <wp:simplePos x="635" y="635"/>
              <wp:positionH relativeFrom="page">
                <wp:align>right</wp:align>
              </wp:positionH>
              <wp:positionV relativeFrom="page">
                <wp:align>top</wp:align>
              </wp:positionV>
              <wp:extent cx="2025015" cy="358140"/>
              <wp:effectExtent l="0" t="0" r="0" b="3810"/>
              <wp:wrapNone/>
              <wp:docPr id="643652960" name="Tekstni okvir 4" descr="Stupanj klasifikacije: SLUŽBE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25015" cy="358140"/>
                      </a:xfrm>
                      <a:prstGeom prst="rect">
                        <a:avLst/>
                      </a:prstGeom>
                      <a:noFill/>
                      <a:ln>
                        <a:noFill/>
                      </a:ln>
                    </wps:spPr>
                    <wps:txbx>
                      <w:txbxContent>
                        <w:p w14:paraId="1DBA7DBB" w14:textId="77777777" w:rsidR="00C228B7" w:rsidRPr="007B234F" w:rsidRDefault="00C228B7" w:rsidP="007B234F">
                          <w:pPr>
                            <w:spacing w:after="0"/>
                            <w:rPr>
                              <w:rFonts w:eastAsia="Times New Roman"/>
                              <w:noProof/>
                              <w:color w:val="1557B7"/>
                              <w:sz w:val="20"/>
                              <w:szCs w:val="20"/>
                            </w:rPr>
                          </w:pPr>
                          <w:r w:rsidRPr="007B234F">
                            <w:rPr>
                              <w:rFonts w:eastAsia="Times New Roman"/>
                              <w:noProof/>
                              <w:color w:val="1557B7"/>
                              <w:sz w:val="20"/>
                              <w:szCs w:val="20"/>
                            </w:rPr>
                            <w:t>Stupanj klasifikacije: SLUŽBENO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5539DDD" id="_x0000_t202" coordsize="21600,21600" o:spt="202" path="m,l,21600r21600,l21600,xe">
              <v:stroke joinstyle="miter"/>
              <v:path gradientshapeok="t" o:connecttype="rect"/>
            </v:shapetype>
            <v:shape id="Tekstni okvir 4" o:spid="_x0000_s1028" type="#_x0000_t202" alt="Stupanj klasifikacije: SLUŽBENO" style="position:absolute;left:0;text-align:left;margin-left:108.25pt;margin-top:0;width:159.45pt;height:28.2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" filled="f" stroked="f">
              <v:textbox style="mso-fit-shape-to-text:t" inset="0,15pt,20pt,0">
                <w:txbxContent>
                  <w:p w14:paraId="1DBA7DBB" w14:textId="77777777" w:rsidR="00C228B7" w:rsidRPr="007B234F" w:rsidRDefault="00C228B7" w:rsidP="007B234F">
                    <w:pPr>
                      <w:spacing w:after="0"/>
                      <w:rPr>
                        <w:rFonts w:eastAsia="Times New Roman"/>
                        <w:noProof/>
                        <w:color w:val="1557B7"/>
                        <w:sz w:val="20"/>
                        <w:szCs w:val="20"/>
                      </w:rPr>
                    </w:pPr>
                    <w:r w:rsidRPr="007B234F">
                      <w:rPr>
                        <w:rFonts w:eastAsia="Times New Roman"/>
                        <w:noProof/>
                        <w:color w:val="1557B7"/>
                        <w:sz w:val="20"/>
                        <w:szCs w:val="20"/>
                      </w:rPr>
                      <w:t>Stupanj klasifikacije: SLUŽBENO</w:t>
                    </w:r>
                  </w:p>
                </w:txbxContent>
              </v:textbox>
              <w10:wrap anchorx="page" anchory="page"/>
            </v:shape>
          </w:pict>
        </mc:Fallback>
      </mc:AlternateContent>
    </w:r>
    <w:r w:rsidRPr="00631FE1">
      <w:rPr>
        <w:i/>
      </w:rPr>
      <w:tab/>
    </w:r>
    <w:r>
      <w:rPr>
        <w:i/>
      </w:rPr>
      <w:tab/>
      <w:t>Izvješće za 2023. i 2024</w:t>
    </w:r>
    <w:r w:rsidRPr="00631FE1">
      <w:rPr>
        <w:i/>
      </w:rPr>
      <w:t>. godinu</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638CF" w14:textId="66CA196E" w:rsidR="00952BB6" w:rsidRPr="00631FE1" w:rsidRDefault="00952BB6" w:rsidP="008607B4">
    <w:pPr>
      <w:pStyle w:val="Zaglavlje"/>
      <w:tabs>
        <w:tab w:val="clear" w:pos="9072"/>
        <w:tab w:val="right" w:pos="14884"/>
      </w:tabs>
      <w:rPr>
        <w:i/>
      </w:rPr>
    </w:pPr>
    <w:r w:rsidRPr="00631FE1">
      <w:rPr>
        <w:i/>
      </w:rPr>
      <w:tab/>
    </w:r>
    <w:r>
      <w:rPr>
        <w:i/>
      </w:rPr>
      <w:tab/>
      <w:t>Izvješće za 202</w:t>
    </w:r>
    <w:r w:rsidR="00831FF9">
      <w:rPr>
        <w:i/>
      </w:rPr>
      <w:t>3</w:t>
    </w:r>
    <w:r>
      <w:rPr>
        <w:i/>
      </w:rPr>
      <w:t>. i 202</w:t>
    </w:r>
    <w:r w:rsidR="00831FF9">
      <w:rPr>
        <w:i/>
      </w:rPr>
      <w:t>4</w:t>
    </w:r>
    <w:r w:rsidRPr="00631FE1">
      <w:rPr>
        <w:i/>
      </w:rPr>
      <w:t>. godinu</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62E3" w14:textId="4D0EE3A1" w:rsidR="00952BB6" w:rsidRPr="00631FE1" w:rsidRDefault="00952BB6" w:rsidP="008607B4">
    <w:pPr>
      <w:pStyle w:val="Zaglavlje"/>
      <w:tabs>
        <w:tab w:val="clear" w:pos="9072"/>
        <w:tab w:val="right" w:pos="14884"/>
      </w:tabs>
      <w:rPr>
        <w:i/>
      </w:rPr>
    </w:pPr>
    <w:r w:rsidRPr="00631FE1">
      <w:rPr>
        <w:i/>
      </w:rPr>
      <w:tab/>
    </w:r>
    <w:r>
      <w:rPr>
        <w:i/>
      </w:rPr>
      <w:tab/>
      <w:t>Izvješće za 202</w:t>
    </w:r>
    <w:r w:rsidR="00D16CA0">
      <w:rPr>
        <w:i/>
      </w:rPr>
      <w:t>3</w:t>
    </w:r>
    <w:r>
      <w:rPr>
        <w:i/>
      </w:rPr>
      <w:t>. i 202</w:t>
    </w:r>
    <w:r w:rsidR="00D16CA0">
      <w:rPr>
        <w:i/>
      </w:rPr>
      <w:t>4</w:t>
    </w:r>
    <w:r w:rsidRPr="00631FE1">
      <w:rPr>
        <w:i/>
      </w:rPr>
      <w:t>. godinu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72B3"/>
    <w:multiLevelType w:val="hybridMultilevel"/>
    <w:tmpl w:val="02B4196C"/>
    <w:lvl w:ilvl="0" w:tplc="2F6EE9C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C572F8"/>
    <w:multiLevelType w:val="hybridMultilevel"/>
    <w:tmpl w:val="BADAD9EA"/>
    <w:lvl w:ilvl="0" w:tplc="041A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 w15:restartNumberingAfterBreak="0">
    <w:nsid w:val="0F9B62B4"/>
    <w:multiLevelType w:val="hybridMultilevel"/>
    <w:tmpl w:val="276CD5E2"/>
    <w:lvl w:ilvl="0" w:tplc="FFFFFFFF">
      <w:start w:val="1"/>
      <w:numFmt w:val="bullet"/>
      <w:lvlText w:val=""/>
      <w:lvlJc w:val="left"/>
      <w:pPr>
        <w:ind w:left="720" w:hanging="360"/>
      </w:pPr>
      <w:rPr>
        <w:rFonts w:ascii="Symbol" w:hAnsi="Symbol" w:hint="default"/>
      </w:rPr>
    </w:lvl>
    <w:lvl w:ilvl="1" w:tplc="041A0005">
      <w:start w:val="1"/>
      <w:numFmt w:val="bullet"/>
      <w:lvlText w:val=""/>
      <w:lvlJc w:val="left"/>
      <w:pPr>
        <w:ind w:left="2007"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D51175"/>
    <w:multiLevelType w:val="multilevel"/>
    <w:tmpl w:val="BBF058AC"/>
    <w:lvl w:ilvl="0">
      <w:start w:val="3"/>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428" w:hanging="720"/>
      </w:pPr>
      <w:rPr>
        <w:rFonts w:ascii="Times New Roman" w:hAnsi="Times New Roman" w:cs="Times New Roman" w:hint="default"/>
        <w:sz w:val="24"/>
      </w:rPr>
    </w:lvl>
    <w:lvl w:ilvl="2">
      <w:start w:val="1"/>
      <w:numFmt w:val="decimal"/>
      <w:lvlText w:val="%1.%2.%3."/>
      <w:lvlJc w:val="left"/>
      <w:pPr>
        <w:ind w:left="2496" w:hanging="1080"/>
      </w:pPr>
      <w:rPr>
        <w:rFonts w:ascii="Times New Roman" w:hAnsi="Times New Roman" w:cs="Times New Roman" w:hint="default"/>
        <w:sz w:val="24"/>
      </w:rPr>
    </w:lvl>
    <w:lvl w:ilvl="3">
      <w:start w:val="1"/>
      <w:numFmt w:val="decimal"/>
      <w:lvlText w:val="%1.%2.%3.%4."/>
      <w:lvlJc w:val="left"/>
      <w:pPr>
        <w:ind w:left="3564" w:hanging="1440"/>
      </w:pPr>
      <w:rPr>
        <w:rFonts w:ascii="Times New Roman" w:hAnsi="Times New Roman" w:cs="Times New Roman" w:hint="default"/>
        <w:sz w:val="24"/>
      </w:rPr>
    </w:lvl>
    <w:lvl w:ilvl="4">
      <w:start w:val="1"/>
      <w:numFmt w:val="decimal"/>
      <w:lvlText w:val="%1.%2.%3.%4.%5."/>
      <w:lvlJc w:val="left"/>
      <w:pPr>
        <w:ind w:left="4272" w:hanging="1440"/>
      </w:pPr>
      <w:rPr>
        <w:rFonts w:ascii="Times New Roman" w:hAnsi="Times New Roman" w:cs="Times New Roman" w:hint="default"/>
        <w:sz w:val="24"/>
      </w:rPr>
    </w:lvl>
    <w:lvl w:ilvl="5">
      <w:start w:val="1"/>
      <w:numFmt w:val="decimal"/>
      <w:lvlText w:val="%1.%2.%3.%4.%5.%6."/>
      <w:lvlJc w:val="left"/>
      <w:pPr>
        <w:ind w:left="5340" w:hanging="1800"/>
      </w:pPr>
      <w:rPr>
        <w:rFonts w:ascii="Times New Roman" w:hAnsi="Times New Roman" w:cs="Times New Roman" w:hint="default"/>
        <w:sz w:val="24"/>
      </w:rPr>
    </w:lvl>
    <w:lvl w:ilvl="6">
      <w:start w:val="1"/>
      <w:numFmt w:val="decimal"/>
      <w:lvlText w:val="%1.%2.%3.%4.%5.%6.%7."/>
      <w:lvlJc w:val="left"/>
      <w:pPr>
        <w:ind w:left="6408" w:hanging="2160"/>
      </w:pPr>
      <w:rPr>
        <w:rFonts w:ascii="Times New Roman" w:hAnsi="Times New Roman" w:cs="Times New Roman" w:hint="default"/>
        <w:sz w:val="24"/>
      </w:rPr>
    </w:lvl>
    <w:lvl w:ilvl="7">
      <w:start w:val="1"/>
      <w:numFmt w:val="decimal"/>
      <w:lvlText w:val="%1.%2.%3.%4.%5.%6.%7.%8."/>
      <w:lvlJc w:val="left"/>
      <w:pPr>
        <w:ind w:left="7476" w:hanging="2520"/>
      </w:pPr>
      <w:rPr>
        <w:rFonts w:ascii="Times New Roman" w:hAnsi="Times New Roman" w:cs="Times New Roman" w:hint="default"/>
        <w:sz w:val="24"/>
      </w:rPr>
    </w:lvl>
    <w:lvl w:ilvl="8">
      <w:start w:val="1"/>
      <w:numFmt w:val="decimal"/>
      <w:lvlText w:val="%1.%2.%3.%4.%5.%6.%7.%8.%9."/>
      <w:lvlJc w:val="left"/>
      <w:pPr>
        <w:ind w:left="8184" w:hanging="2520"/>
      </w:pPr>
      <w:rPr>
        <w:rFonts w:ascii="Times New Roman" w:hAnsi="Times New Roman" w:cs="Times New Roman" w:hint="default"/>
        <w:sz w:val="24"/>
      </w:rPr>
    </w:lvl>
  </w:abstractNum>
  <w:abstractNum w:abstractNumId="4" w15:restartNumberingAfterBreak="0">
    <w:nsid w:val="11CC7AD9"/>
    <w:multiLevelType w:val="hybridMultilevel"/>
    <w:tmpl w:val="2F88C98C"/>
    <w:lvl w:ilvl="0" w:tplc="A7642A9A">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9D345C"/>
    <w:multiLevelType w:val="hybridMultilevel"/>
    <w:tmpl w:val="F8C2B6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481420"/>
    <w:multiLevelType w:val="hybridMultilevel"/>
    <w:tmpl w:val="E668D590"/>
    <w:lvl w:ilvl="0" w:tplc="041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411F0B"/>
    <w:multiLevelType w:val="hybridMultilevel"/>
    <w:tmpl w:val="CD40B56C"/>
    <w:lvl w:ilvl="0" w:tplc="041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5A4B25"/>
    <w:multiLevelType w:val="hybridMultilevel"/>
    <w:tmpl w:val="9D66CE36"/>
    <w:lvl w:ilvl="0" w:tplc="BEFC5B72">
      <w:start w:val="3"/>
      <w:numFmt w:val="bullet"/>
      <w:lvlText w:val="-"/>
      <w:lvlJc w:val="left"/>
      <w:pPr>
        <w:ind w:left="927" w:hanging="360"/>
      </w:pPr>
      <w:rPr>
        <w:rFonts w:ascii="Times New Roman" w:eastAsiaTheme="minorHAnsi"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9" w15:restartNumberingAfterBreak="0">
    <w:nsid w:val="1FC040C6"/>
    <w:multiLevelType w:val="hybridMultilevel"/>
    <w:tmpl w:val="683A057A"/>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21492BE4"/>
    <w:multiLevelType w:val="hybridMultilevel"/>
    <w:tmpl w:val="7C961464"/>
    <w:lvl w:ilvl="0" w:tplc="FFFFFFFF">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start w:val="1"/>
      <w:numFmt w:val="bullet"/>
      <w:lvlText w:val="o"/>
      <w:lvlJc w:val="left"/>
      <w:pPr>
        <w:ind w:left="1069" w:hanging="360"/>
      </w:pPr>
      <w:rPr>
        <w:rFonts w:ascii="Courier New" w:hAnsi="Courier New" w:cs="Courier New" w:hint="default"/>
      </w:rPr>
    </w:lvl>
    <w:lvl w:ilvl="4" w:tplc="041A0005">
      <w:start w:val="1"/>
      <w:numFmt w:val="bullet"/>
      <w:lvlText w:val=""/>
      <w:lvlJc w:val="left"/>
      <w:pPr>
        <w:ind w:left="2160" w:hanging="360"/>
      </w:pPr>
      <w:rPr>
        <w:rFonts w:ascii="Wingdings" w:hAnsi="Wingdings"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231A43F3"/>
    <w:multiLevelType w:val="hybridMultilevel"/>
    <w:tmpl w:val="07165040"/>
    <w:lvl w:ilvl="0" w:tplc="041A0005">
      <w:start w:val="1"/>
      <w:numFmt w:val="bullet"/>
      <w:lvlText w:val=""/>
      <w:lvlJc w:val="left"/>
      <w:pPr>
        <w:ind w:left="2850" w:hanging="360"/>
      </w:pPr>
      <w:rPr>
        <w:rFonts w:ascii="Wingdings" w:hAnsi="Wingdings" w:hint="default"/>
      </w:rPr>
    </w:lvl>
    <w:lvl w:ilvl="1" w:tplc="041A0003" w:tentative="1">
      <w:start w:val="1"/>
      <w:numFmt w:val="bullet"/>
      <w:lvlText w:val="o"/>
      <w:lvlJc w:val="left"/>
      <w:pPr>
        <w:ind w:left="3570" w:hanging="360"/>
      </w:pPr>
      <w:rPr>
        <w:rFonts w:ascii="Courier New" w:hAnsi="Courier New" w:cs="Courier New" w:hint="default"/>
      </w:rPr>
    </w:lvl>
    <w:lvl w:ilvl="2" w:tplc="041A0005" w:tentative="1">
      <w:start w:val="1"/>
      <w:numFmt w:val="bullet"/>
      <w:lvlText w:val=""/>
      <w:lvlJc w:val="left"/>
      <w:pPr>
        <w:ind w:left="4290" w:hanging="360"/>
      </w:pPr>
      <w:rPr>
        <w:rFonts w:ascii="Wingdings" w:hAnsi="Wingdings" w:hint="default"/>
      </w:rPr>
    </w:lvl>
    <w:lvl w:ilvl="3" w:tplc="041A0001">
      <w:start w:val="1"/>
      <w:numFmt w:val="bullet"/>
      <w:lvlText w:val=""/>
      <w:lvlJc w:val="left"/>
      <w:pPr>
        <w:ind w:left="5010" w:hanging="360"/>
      </w:pPr>
      <w:rPr>
        <w:rFonts w:ascii="Symbol" w:hAnsi="Symbol" w:hint="default"/>
      </w:rPr>
    </w:lvl>
    <w:lvl w:ilvl="4" w:tplc="041A0003" w:tentative="1">
      <w:start w:val="1"/>
      <w:numFmt w:val="bullet"/>
      <w:lvlText w:val="o"/>
      <w:lvlJc w:val="left"/>
      <w:pPr>
        <w:ind w:left="5730" w:hanging="360"/>
      </w:pPr>
      <w:rPr>
        <w:rFonts w:ascii="Courier New" w:hAnsi="Courier New" w:cs="Courier New" w:hint="default"/>
      </w:rPr>
    </w:lvl>
    <w:lvl w:ilvl="5" w:tplc="041A0005" w:tentative="1">
      <w:start w:val="1"/>
      <w:numFmt w:val="bullet"/>
      <w:lvlText w:val=""/>
      <w:lvlJc w:val="left"/>
      <w:pPr>
        <w:ind w:left="6450" w:hanging="360"/>
      </w:pPr>
      <w:rPr>
        <w:rFonts w:ascii="Wingdings" w:hAnsi="Wingdings" w:hint="default"/>
      </w:rPr>
    </w:lvl>
    <w:lvl w:ilvl="6" w:tplc="041A0001" w:tentative="1">
      <w:start w:val="1"/>
      <w:numFmt w:val="bullet"/>
      <w:lvlText w:val=""/>
      <w:lvlJc w:val="left"/>
      <w:pPr>
        <w:ind w:left="7170" w:hanging="360"/>
      </w:pPr>
      <w:rPr>
        <w:rFonts w:ascii="Symbol" w:hAnsi="Symbol" w:hint="default"/>
      </w:rPr>
    </w:lvl>
    <w:lvl w:ilvl="7" w:tplc="041A0003" w:tentative="1">
      <w:start w:val="1"/>
      <w:numFmt w:val="bullet"/>
      <w:lvlText w:val="o"/>
      <w:lvlJc w:val="left"/>
      <w:pPr>
        <w:ind w:left="7890" w:hanging="360"/>
      </w:pPr>
      <w:rPr>
        <w:rFonts w:ascii="Courier New" w:hAnsi="Courier New" w:cs="Courier New" w:hint="default"/>
      </w:rPr>
    </w:lvl>
    <w:lvl w:ilvl="8" w:tplc="041A0005" w:tentative="1">
      <w:start w:val="1"/>
      <w:numFmt w:val="bullet"/>
      <w:lvlText w:val=""/>
      <w:lvlJc w:val="left"/>
      <w:pPr>
        <w:ind w:left="8610" w:hanging="360"/>
      </w:pPr>
      <w:rPr>
        <w:rFonts w:ascii="Wingdings" w:hAnsi="Wingdings" w:hint="default"/>
      </w:rPr>
    </w:lvl>
  </w:abstractNum>
  <w:abstractNum w:abstractNumId="12" w15:restartNumberingAfterBreak="0">
    <w:nsid w:val="23E258B2"/>
    <w:multiLevelType w:val="hybridMultilevel"/>
    <w:tmpl w:val="CE1A507E"/>
    <w:lvl w:ilvl="0" w:tplc="041A0001">
      <w:start w:val="1"/>
      <w:numFmt w:val="bullet"/>
      <w:lvlText w:val=""/>
      <w:lvlJc w:val="left"/>
      <w:pPr>
        <w:ind w:left="1140" w:hanging="360"/>
      </w:pPr>
      <w:rPr>
        <w:rFonts w:ascii="Symbol" w:hAnsi="Symbol" w:hint="default"/>
      </w:rPr>
    </w:lvl>
    <w:lvl w:ilvl="1" w:tplc="041A0003">
      <w:start w:val="1"/>
      <w:numFmt w:val="bullet"/>
      <w:lvlText w:val="o"/>
      <w:lvlJc w:val="left"/>
      <w:pPr>
        <w:ind w:left="1860" w:hanging="360"/>
      </w:pPr>
      <w:rPr>
        <w:rFonts w:ascii="Courier New" w:hAnsi="Courier New" w:cs="Courier New" w:hint="default"/>
      </w:rPr>
    </w:lvl>
    <w:lvl w:ilvl="2" w:tplc="041A0005">
      <w:start w:val="1"/>
      <w:numFmt w:val="bullet"/>
      <w:lvlText w:val=""/>
      <w:lvlJc w:val="left"/>
      <w:pPr>
        <w:ind w:left="2580" w:hanging="360"/>
      </w:pPr>
      <w:rPr>
        <w:rFonts w:ascii="Wingdings" w:hAnsi="Wingdings" w:hint="default"/>
      </w:rPr>
    </w:lvl>
    <w:lvl w:ilvl="3" w:tplc="041A0001">
      <w:start w:val="1"/>
      <w:numFmt w:val="bullet"/>
      <w:lvlText w:val=""/>
      <w:lvlJc w:val="left"/>
      <w:pPr>
        <w:ind w:left="3300" w:hanging="360"/>
      </w:pPr>
      <w:rPr>
        <w:rFonts w:ascii="Symbol" w:hAnsi="Symbol" w:hint="default"/>
      </w:rPr>
    </w:lvl>
    <w:lvl w:ilvl="4" w:tplc="041A0003">
      <w:start w:val="1"/>
      <w:numFmt w:val="bullet"/>
      <w:lvlText w:val="o"/>
      <w:lvlJc w:val="left"/>
      <w:pPr>
        <w:ind w:left="4020" w:hanging="360"/>
      </w:pPr>
      <w:rPr>
        <w:rFonts w:ascii="Courier New" w:hAnsi="Courier New" w:cs="Courier New" w:hint="default"/>
      </w:rPr>
    </w:lvl>
    <w:lvl w:ilvl="5" w:tplc="041A0005">
      <w:start w:val="1"/>
      <w:numFmt w:val="bullet"/>
      <w:lvlText w:val=""/>
      <w:lvlJc w:val="left"/>
      <w:pPr>
        <w:ind w:left="4740" w:hanging="360"/>
      </w:pPr>
      <w:rPr>
        <w:rFonts w:ascii="Wingdings" w:hAnsi="Wingdings" w:hint="default"/>
      </w:rPr>
    </w:lvl>
    <w:lvl w:ilvl="6" w:tplc="041A0001">
      <w:start w:val="1"/>
      <w:numFmt w:val="bullet"/>
      <w:lvlText w:val=""/>
      <w:lvlJc w:val="left"/>
      <w:pPr>
        <w:ind w:left="5460" w:hanging="360"/>
      </w:pPr>
      <w:rPr>
        <w:rFonts w:ascii="Symbol" w:hAnsi="Symbol" w:hint="default"/>
      </w:rPr>
    </w:lvl>
    <w:lvl w:ilvl="7" w:tplc="041A0003">
      <w:start w:val="1"/>
      <w:numFmt w:val="bullet"/>
      <w:lvlText w:val="o"/>
      <w:lvlJc w:val="left"/>
      <w:pPr>
        <w:ind w:left="6180" w:hanging="360"/>
      </w:pPr>
      <w:rPr>
        <w:rFonts w:ascii="Courier New" w:hAnsi="Courier New" w:cs="Courier New" w:hint="default"/>
      </w:rPr>
    </w:lvl>
    <w:lvl w:ilvl="8" w:tplc="041A0005">
      <w:start w:val="1"/>
      <w:numFmt w:val="bullet"/>
      <w:lvlText w:val=""/>
      <w:lvlJc w:val="left"/>
      <w:pPr>
        <w:ind w:left="6900" w:hanging="360"/>
      </w:pPr>
      <w:rPr>
        <w:rFonts w:ascii="Wingdings" w:hAnsi="Wingdings" w:hint="default"/>
      </w:rPr>
    </w:lvl>
  </w:abstractNum>
  <w:abstractNum w:abstractNumId="13" w15:restartNumberingAfterBreak="0">
    <w:nsid w:val="245632B9"/>
    <w:multiLevelType w:val="hybridMultilevel"/>
    <w:tmpl w:val="D74C31F2"/>
    <w:lvl w:ilvl="0" w:tplc="041A0001">
      <w:start w:val="1"/>
      <w:numFmt w:val="bullet"/>
      <w:lvlText w:val=""/>
      <w:lvlJc w:val="left"/>
      <w:pPr>
        <w:ind w:left="1287" w:hanging="360"/>
      </w:pPr>
      <w:rPr>
        <w:rFonts w:ascii="Symbol" w:hAnsi="Symbol" w:hint="default"/>
      </w:rPr>
    </w:lvl>
    <w:lvl w:ilvl="1" w:tplc="041A0003">
      <w:start w:val="1"/>
      <w:numFmt w:val="bullet"/>
      <w:lvlText w:val="o"/>
      <w:lvlJc w:val="left"/>
      <w:pPr>
        <w:ind w:left="2007" w:hanging="360"/>
      </w:pPr>
      <w:rPr>
        <w:rFonts w:ascii="Courier New" w:hAnsi="Courier New" w:cs="Courier New" w:hint="default"/>
      </w:rPr>
    </w:lvl>
    <w:lvl w:ilvl="2" w:tplc="041A0005">
      <w:start w:val="1"/>
      <w:numFmt w:val="bullet"/>
      <w:lvlText w:val=""/>
      <w:lvlJc w:val="left"/>
      <w:pPr>
        <w:ind w:left="2727" w:hanging="360"/>
      </w:pPr>
      <w:rPr>
        <w:rFonts w:ascii="Wingdings" w:hAnsi="Wingdings" w:hint="default"/>
      </w:rPr>
    </w:lvl>
    <w:lvl w:ilvl="3" w:tplc="6ED45384">
      <w:numFmt w:val="bullet"/>
      <w:lvlText w:val="-"/>
      <w:lvlJc w:val="left"/>
      <w:pPr>
        <w:ind w:left="3447" w:hanging="360"/>
      </w:pPr>
      <w:rPr>
        <w:rFonts w:ascii="Times New Roman" w:eastAsiaTheme="minorHAnsi" w:hAnsi="Times New Roman" w:cs="Times New Roman"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4" w15:restartNumberingAfterBreak="0">
    <w:nsid w:val="26571B30"/>
    <w:multiLevelType w:val="multilevel"/>
    <w:tmpl w:val="910E4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035632"/>
    <w:multiLevelType w:val="hybridMultilevel"/>
    <w:tmpl w:val="21FAF8D4"/>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D71259"/>
    <w:multiLevelType w:val="hybridMultilevel"/>
    <w:tmpl w:val="8AB835D2"/>
    <w:lvl w:ilvl="0" w:tplc="FFFFFFFF">
      <w:start w:val="1"/>
      <w:numFmt w:val="bullet"/>
      <w:lvlText w:val="o"/>
      <w:lvlJc w:val="left"/>
      <w:pPr>
        <w:ind w:left="720" w:hanging="360"/>
      </w:pPr>
      <w:rPr>
        <w:rFonts w:ascii="Courier New" w:hAnsi="Courier New" w:cs="Courier New" w:hint="default"/>
      </w:rPr>
    </w:lvl>
    <w:lvl w:ilvl="1" w:tplc="4AE23E88">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F7B4106"/>
    <w:multiLevelType w:val="hybridMultilevel"/>
    <w:tmpl w:val="ADB800F6"/>
    <w:lvl w:ilvl="0" w:tplc="041A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8" w15:restartNumberingAfterBreak="0">
    <w:nsid w:val="30D87CFA"/>
    <w:multiLevelType w:val="hybridMultilevel"/>
    <w:tmpl w:val="A40273A0"/>
    <w:lvl w:ilvl="0" w:tplc="041A0003">
      <w:start w:val="1"/>
      <w:numFmt w:val="bullet"/>
      <w:lvlText w:val="o"/>
      <w:lvlJc w:val="left"/>
      <w:pPr>
        <w:ind w:left="1080" w:hanging="360"/>
      </w:pPr>
      <w:rPr>
        <w:rFonts w:ascii="Courier New" w:hAnsi="Courier New" w:cs="Courier New"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1357736"/>
    <w:multiLevelType w:val="multilevel"/>
    <w:tmpl w:val="84042ECA"/>
    <w:lvl w:ilvl="0">
      <w:start w:val="2"/>
      <w:numFmt w:val="decimal"/>
      <w:lvlText w:val="%1."/>
      <w:lvlJc w:val="left"/>
      <w:pPr>
        <w:ind w:left="450" w:hanging="450"/>
      </w:pPr>
      <w:rPr>
        <w:rFonts w:hint="default"/>
      </w:rPr>
    </w:lvl>
    <w:lvl w:ilvl="1">
      <w:start w:val="1"/>
      <w:numFmt w:val="decimal"/>
      <w:pStyle w:val="Naslov2"/>
      <w:lvlText w:val="%1.%2."/>
      <w:lvlJc w:val="left"/>
      <w:pPr>
        <w:ind w:left="1428" w:hanging="720"/>
      </w:pPr>
      <w:rPr>
        <w:rFonts w:ascii="Times New Roman" w:hAnsi="Times New Roman" w:cs="Times New Roman" w:hint="default"/>
        <w:sz w:val="24"/>
        <w:szCs w:val="24"/>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15:restartNumberingAfterBreak="0">
    <w:nsid w:val="33E21BF8"/>
    <w:multiLevelType w:val="hybridMultilevel"/>
    <w:tmpl w:val="4EACAD9E"/>
    <w:lvl w:ilvl="0" w:tplc="041A0005">
      <w:start w:val="1"/>
      <w:numFmt w:val="bullet"/>
      <w:lvlText w:val=""/>
      <w:lvlJc w:val="left"/>
      <w:pPr>
        <w:ind w:left="2145" w:hanging="360"/>
      </w:pPr>
      <w:rPr>
        <w:rFonts w:ascii="Wingdings" w:hAnsi="Wingdings" w:hint="default"/>
      </w:rPr>
    </w:lvl>
    <w:lvl w:ilvl="1" w:tplc="041A0003" w:tentative="1">
      <w:start w:val="1"/>
      <w:numFmt w:val="bullet"/>
      <w:lvlText w:val="o"/>
      <w:lvlJc w:val="left"/>
      <w:pPr>
        <w:ind w:left="2865" w:hanging="360"/>
      </w:pPr>
      <w:rPr>
        <w:rFonts w:ascii="Courier New" w:hAnsi="Courier New" w:cs="Courier New" w:hint="default"/>
      </w:rPr>
    </w:lvl>
    <w:lvl w:ilvl="2" w:tplc="041A0005" w:tentative="1">
      <w:start w:val="1"/>
      <w:numFmt w:val="bullet"/>
      <w:lvlText w:val=""/>
      <w:lvlJc w:val="left"/>
      <w:pPr>
        <w:ind w:left="3585" w:hanging="360"/>
      </w:pPr>
      <w:rPr>
        <w:rFonts w:ascii="Wingdings" w:hAnsi="Wingdings" w:hint="default"/>
      </w:rPr>
    </w:lvl>
    <w:lvl w:ilvl="3" w:tplc="041A0001">
      <w:start w:val="1"/>
      <w:numFmt w:val="bullet"/>
      <w:lvlText w:val=""/>
      <w:lvlJc w:val="left"/>
      <w:pPr>
        <w:ind w:left="4305" w:hanging="360"/>
      </w:pPr>
      <w:rPr>
        <w:rFonts w:ascii="Symbol" w:hAnsi="Symbol" w:hint="default"/>
      </w:rPr>
    </w:lvl>
    <w:lvl w:ilvl="4" w:tplc="041A0003" w:tentative="1">
      <w:start w:val="1"/>
      <w:numFmt w:val="bullet"/>
      <w:lvlText w:val="o"/>
      <w:lvlJc w:val="left"/>
      <w:pPr>
        <w:ind w:left="5025" w:hanging="360"/>
      </w:pPr>
      <w:rPr>
        <w:rFonts w:ascii="Courier New" w:hAnsi="Courier New" w:cs="Courier New" w:hint="default"/>
      </w:rPr>
    </w:lvl>
    <w:lvl w:ilvl="5" w:tplc="041A0005" w:tentative="1">
      <w:start w:val="1"/>
      <w:numFmt w:val="bullet"/>
      <w:lvlText w:val=""/>
      <w:lvlJc w:val="left"/>
      <w:pPr>
        <w:ind w:left="5745" w:hanging="360"/>
      </w:pPr>
      <w:rPr>
        <w:rFonts w:ascii="Wingdings" w:hAnsi="Wingdings" w:hint="default"/>
      </w:rPr>
    </w:lvl>
    <w:lvl w:ilvl="6" w:tplc="041A0001" w:tentative="1">
      <w:start w:val="1"/>
      <w:numFmt w:val="bullet"/>
      <w:lvlText w:val=""/>
      <w:lvlJc w:val="left"/>
      <w:pPr>
        <w:ind w:left="6465" w:hanging="360"/>
      </w:pPr>
      <w:rPr>
        <w:rFonts w:ascii="Symbol" w:hAnsi="Symbol" w:hint="default"/>
      </w:rPr>
    </w:lvl>
    <w:lvl w:ilvl="7" w:tplc="041A0003" w:tentative="1">
      <w:start w:val="1"/>
      <w:numFmt w:val="bullet"/>
      <w:lvlText w:val="o"/>
      <w:lvlJc w:val="left"/>
      <w:pPr>
        <w:ind w:left="7185" w:hanging="360"/>
      </w:pPr>
      <w:rPr>
        <w:rFonts w:ascii="Courier New" w:hAnsi="Courier New" w:cs="Courier New" w:hint="default"/>
      </w:rPr>
    </w:lvl>
    <w:lvl w:ilvl="8" w:tplc="041A0005" w:tentative="1">
      <w:start w:val="1"/>
      <w:numFmt w:val="bullet"/>
      <w:lvlText w:val=""/>
      <w:lvlJc w:val="left"/>
      <w:pPr>
        <w:ind w:left="7905" w:hanging="360"/>
      </w:pPr>
      <w:rPr>
        <w:rFonts w:ascii="Wingdings" w:hAnsi="Wingdings" w:hint="default"/>
      </w:rPr>
    </w:lvl>
  </w:abstractNum>
  <w:abstractNum w:abstractNumId="21" w15:restartNumberingAfterBreak="0">
    <w:nsid w:val="34A31315"/>
    <w:multiLevelType w:val="hybridMultilevel"/>
    <w:tmpl w:val="9C9A589A"/>
    <w:lvl w:ilvl="0" w:tplc="041A0005">
      <w:start w:val="1"/>
      <w:numFmt w:val="bullet"/>
      <w:lvlText w:val=""/>
      <w:lvlJc w:val="left"/>
      <w:pPr>
        <w:ind w:left="2850" w:hanging="360"/>
      </w:pPr>
      <w:rPr>
        <w:rFonts w:ascii="Wingdings" w:hAnsi="Wingdings" w:hint="default"/>
      </w:rPr>
    </w:lvl>
    <w:lvl w:ilvl="1" w:tplc="041A0003" w:tentative="1">
      <w:start w:val="1"/>
      <w:numFmt w:val="bullet"/>
      <w:lvlText w:val="o"/>
      <w:lvlJc w:val="left"/>
      <w:pPr>
        <w:ind w:left="3570" w:hanging="360"/>
      </w:pPr>
      <w:rPr>
        <w:rFonts w:ascii="Courier New" w:hAnsi="Courier New" w:cs="Courier New" w:hint="default"/>
      </w:rPr>
    </w:lvl>
    <w:lvl w:ilvl="2" w:tplc="041A0005" w:tentative="1">
      <w:start w:val="1"/>
      <w:numFmt w:val="bullet"/>
      <w:lvlText w:val=""/>
      <w:lvlJc w:val="left"/>
      <w:pPr>
        <w:ind w:left="4290" w:hanging="360"/>
      </w:pPr>
      <w:rPr>
        <w:rFonts w:ascii="Wingdings" w:hAnsi="Wingdings" w:hint="default"/>
      </w:rPr>
    </w:lvl>
    <w:lvl w:ilvl="3" w:tplc="041A0001" w:tentative="1">
      <w:start w:val="1"/>
      <w:numFmt w:val="bullet"/>
      <w:lvlText w:val=""/>
      <w:lvlJc w:val="left"/>
      <w:pPr>
        <w:ind w:left="5010" w:hanging="360"/>
      </w:pPr>
      <w:rPr>
        <w:rFonts w:ascii="Symbol" w:hAnsi="Symbol" w:hint="default"/>
      </w:rPr>
    </w:lvl>
    <w:lvl w:ilvl="4" w:tplc="041A0003" w:tentative="1">
      <w:start w:val="1"/>
      <w:numFmt w:val="bullet"/>
      <w:lvlText w:val="o"/>
      <w:lvlJc w:val="left"/>
      <w:pPr>
        <w:ind w:left="5730" w:hanging="360"/>
      </w:pPr>
      <w:rPr>
        <w:rFonts w:ascii="Courier New" w:hAnsi="Courier New" w:cs="Courier New" w:hint="default"/>
      </w:rPr>
    </w:lvl>
    <w:lvl w:ilvl="5" w:tplc="041A0005" w:tentative="1">
      <w:start w:val="1"/>
      <w:numFmt w:val="bullet"/>
      <w:lvlText w:val=""/>
      <w:lvlJc w:val="left"/>
      <w:pPr>
        <w:ind w:left="6450" w:hanging="360"/>
      </w:pPr>
      <w:rPr>
        <w:rFonts w:ascii="Wingdings" w:hAnsi="Wingdings" w:hint="default"/>
      </w:rPr>
    </w:lvl>
    <w:lvl w:ilvl="6" w:tplc="041A0001" w:tentative="1">
      <w:start w:val="1"/>
      <w:numFmt w:val="bullet"/>
      <w:lvlText w:val=""/>
      <w:lvlJc w:val="left"/>
      <w:pPr>
        <w:ind w:left="7170" w:hanging="360"/>
      </w:pPr>
      <w:rPr>
        <w:rFonts w:ascii="Symbol" w:hAnsi="Symbol" w:hint="default"/>
      </w:rPr>
    </w:lvl>
    <w:lvl w:ilvl="7" w:tplc="041A0003" w:tentative="1">
      <w:start w:val="1"/>
      <w:numFmt w:val="bullet"/>
      <w:lvlText w:val="o"/>
      <w:lvlJc w:val="left"/>
      <w:pPr>
        <w:ind w:left="7890" w:hanging="360"/>
      </w:pPr>
      <w:rPr>
        <w:rFonts w:ascii="Courier New" w:hAnsi="Courier New" w:cs="Courier New" w:hint="default"/>
      </w:rPr>
    </w:lvl>
    <w:lvl w:ilvl="8" w:tplc="041A0005" w:tentative="1">
      <w:start w:val="1"/>
      <w:numFmt w:val="bullet"/>
      <w:lvlText w:val=""/>
      <w:lvlJc w:val="left"/>
      <w:pPr>
        <w:ind w:left="8610" w:hanging="360"/>
      </w:pPr>
      <w:rPr>
        <w:rFonts w:ascii="Wingdings" w:hAnsi="Wingdings" w:hint="default"/>
      </w:rPr>
    </w:lvl>
  </w:abstractNum>
  <w:abstractNum w:abstractNumId="22" w15:restartNumberingAfterBreak="0">
    <w:nsid w:val="3D0A5656"/>
    <w:multiLevelType w:val="hybridMultilevel"/>
    <w:tmpl w:val="A09E34DE"/>
    <w:lvl w:ilvl="0" w:tplc="041A0001">
      <w:start w:val="1"/>
      <w:numFmt w:val="bullet"/>
      <w:lvlText w:val=""/>
      <w:lvlJc w:val="left"/>
      <w:pPr>
        <w:ind w:left="1287" w:hanging="360"/>
      </w:pPr>
      <w:rPr>
        <w:rFonts w:ascii="Symbol" w:hAnsi="Symbol" w:hint="default"/>
      </w:rPr>
    </w:lvl>
    <w:lvl w:ilvl="1" w:tplc="041A0003">
      <w:start w:val="1"/>
      <w:numFmt w:val="bullet"/>
      <w:lvlText w:val="o"/>
      <w:lvlJc w:val="left"/>
      <w:pPr>
        <w:ind w:left="2007" w:hanging="360"/>
      </w:pPr>
      <w:rPr>
        <w:rFonts w:ascii="Courier New" w:hAnsi="Courier New" w:cs="Courier New" w:hint="default"/>
      </w:rPr>
    </w:lvl>
    <w:lvl w:ilvl="2" w:tplc="041A0005">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3" w15:restartNumberingAfterBreak="0">
    <w:nsid w:val="3F79514C"/>
    <w:multiLevelType w:val="hybridMultilevel"/>
    <w:tmpl w:val="ABDA611A"/>
    <w:lvl w:ilvl="0" w:tplc="041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A2000A6"/>
    <w:multiLevelType w:val="hybridMultilevel"/>
    <w:tmpl w:val="0128B56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BC1756A"/>
    <w:multiLevelType w:val="hybridMultilevel"/>
    <w:tmpl w:val="89B6A80C"/>
    <w:lvl w:ilvl="0" w:tplc="041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BE429B8"/>
    <w:multiLevelType w:val="hybridMultilevel"/>
    <w:tmpl w:val="5A444EF6"/>
    <w:lvl w:ilvl="0" w:tplc="041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CE81643"/>
    <w:multiLevelType w:val="hybridMultilevel"/>
    <w:tmpl w:val="C97E5DFE"/>
    <w:lvl w:ilvl="0" w:tplc="A7642A9A">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FBC262E"/>
    <w:multiLevelType w:val="hybridMultilevel"/>
    <w:tmpl w:val="B33C82B2"/>
    <w:lvl w:ilvl="0" w:tplc="2F6EE9C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21367F0"/>
    <w:multiLevelType w:val="hybridMultilevel"/>
    <w:tmpl w:val="583A3994"/>
    <w:lvl w:ilvl="0" w:tplc="FFFFFFFF">
      <w:start w:val="1"/>
      <w:numFmt w:val="bullet"/>
      <w:lvlText w:val=""/>
      <w:lvlJc w:val="left"/>
      <w:pPr>
        <w:ind w:left="1287" w:hanging="360"/>
      </w:pPr>
      <w:rPr>
        <w:rFonts w:ascii="Symbol" w:hAnsi="Symbol" w:hint="default"/>
      </w:rPr>
    </w:lvl>
    <w:lvl w:ilvl="1" w:tplc="041A0003">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41155DC"/>
    <w:multiLevelType w:val="hybridMultilevel"/>
    <w:tmpl w:val="5ECAFB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BDF563A"/>
    <w:multiLevelType w:val="hybridMultilevel"/>
    <w:tmpl w:val="48461F74"/>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E273A53"/>
    <w:multiLevelType w:val="hybridMultilevel"/>
    <w:tmpl w:val="90A0F6DC"/>
    <w:lvl w:ilvl="0" w:tplc="D71E3E10">
      <w:start w:val="1"/>
      <w:numFmt w:val="decimal"/>
      <w:pStyle w:val="Naslov1"/>
      <w:lvlText w:val="%1."/>
      <w:lvlJc w:val="left"/>
      <w:pPr>
        <w:ind w:left="1070"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2F6EE9CA">
      <w:numFmt w:val="bullet"/>
      <w:lvlText w:val="•"/>
      <w:lvlJc w:val="left"/>
      <w:pPr>
        <w:ind w:left="1785" w:hanging="705"/>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E97135B"/>
    <w:multiLevelType w:val="hybridMultilevel"/>
    <w:tmpl w:val="62C204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F1D2473"/>
    <w:multiLevelType w:val="hybridMultilevel"/>
    <w:tmpl w:val="D2D8328C"/>
    <w:lvl w:ilvl="0" w:tplc="FFFFFFFF">
      <w:start w:val="1"/>
      <w:numFmt w:val="bullet"/>
      <w:lvlText w:val=""/>
      <w:lvlJc w:val="left"/>
      <w:pPr>
        <w:ind w:left="1287" w:hanging="360"/>
      </w:pPr>
      <w:rPr>
        <w:rFonts w:ascii="Symbol" w:hAnsi="Symbol" w:hint="default"/>
      </w:rPr>
    </w:lvl>
    <w:lvl w:ilvl="1" w:tplc="041A0005">
      <w:start w:val="1"/>
      <w:numFmt w:val="bullet"/>
      <w:lvlText w:val=""/>
      <w:lvlJc w:val="left"/>
      <w:pPr>
        <w:ind w:left="2007" w:hanging="360"/>
      </w:pPr>
      <w:rPr>
        <w:rFonts w:ascii="Wingdings" w:hAnsi="Wingdings" w:hint="default"/>
      </w:rPr>
    </w:lvl>
    <w:lvl w:ilvl="2" w:tplc="FFFFFFFF">
      <w:start w:val="1"/>
      <w:numFmt w:val="bullet"/>
      <w:lvlText w:val=""/>
      <w:lvlJc w:val="left"/>
      <w:pPr>
        <w:ind w:left="2727" w:hanging="360"/>
      </w:pPr>
      <w:rPr>
        <w:rFonts w:ascii="Wingdings" w:hAnsi="Wingdings" w:hint="default"/>
      </w:rPr>
    </w:lvl>
    <w:lvl w:ilvl="3" w:tplc="FFFFFFFF">
      <w:numFmt w:val="bullet"/>
      <w:lvlText w:val="-"/>
      <w:lvlJc w:val="left"/>
      <w:pPr>
        <w:ind w:left="3447" w:hanging="360"/>
      </w:pPr>
      <w:rPr>
        <w:rFonts w:ascii="Times New Roman" w:eastAsiaTheme="minorHAnsi" w:hAnsi="Times New Roman" w:cs="Times New Roman"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5" w15:restartNumberingAfterBreak="0">
    <w:nsid w:val="5FC55550"/>
    <w:multiLevelType w:val="hybridMultilevel"/>
    <w:tmpl w:val="1298ADC2"/>
    <w:lvl w:ilvl="0" w:tplc="FFFFFFFF">
      <w:start w:val="1"/>
      <w:numFmt w:val="bullet"/>
      <w:lvlText w:val=""/>
      <w:lvlJc w:val="left"/>
      <w:pPr>
        <w:ind w:left="1287" w:hanging="360"/>
      </w:pPr>
      <w:rPr>
        <w:rFonts w:ascii="Symbol" w:hAnsi="Symbol" w:hint="default"/>
      </w:rPr>
    </w:lvl>
    <w:lvl w:ilvl="1" w:tplc="041A0005">
      <w:start w:val="1"/>
      <w:numFmt w:val="bullet"/>
      <w:lvlText w:val=""/>
      <w:lvlJc w:val="left"/>
      <w:pPr>
        <w:ind w:left="2007" w:hanging="360"/>
      </w:pPr>
      <w:rPr>
        <w:rFonts w:ascii="Wingdings" w:hAnsi="Wingdings" w:hint="default"/>
      </w:rPr>
    </w:lvl>
    <w:lvl w:ilvl="2" w:tplc="FFFFFFFF">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60BD6D28"/>
    <w:multiLevelType w:val="hybridMultilevel"/>
    <w:tmpl w:val="D370054A"/>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7" w15:restartNumberingAfterBreak="0">
    <w:nsid w:val="67613CE6"/>
    <w:multiLevelType w:val="hybridMultilevel"/>
    <w:tmpl w:val="1A1C17C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8" w15:restartNumberingAfterBreak="0">
    <w:nsid w:val="6E2E2D75"/>
    <w:multiLevelType w:val="hybridMultilevel"/>
    <w:tmpl w:val="C8AC0312"/>
    <w:lvl w:ilvl="0" w:tplc="FFFFFFFF">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041A0003">
      <w:start w:val="1"/>
      <w:numFmt w:val="bullet"/>
      <w:lvlText w:val="o"/>
      <w:lvlJc w:val="left"/>
      <w:pPr>
        <w:ind w:left="1069" w:hanging="360"/>
      </w:pPr>
      <w:rPr>
        <w:rFonts w:ascii="Courier New" w:hAnsi="Courier New" w:cs="Courier New" w:hint="default"/>
      </w:rPr>
    </w:lvl>
    <w:lvl w:ilvl="4" w:tplc="FFFFFFFF">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9" w15:restartNumberingAfterBreak="0">
    <w:nsid w:val="772C31A3"/>
    <w:multiLevelType w:val="hybridMultilevel"/>
    <w:tmpl w:val="3F7CDD18"/>
    <w:lvl w:ilvl="0" w:tplc="041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F3852AD"/>
    <w:multiLevelType w:val="hybridMultilevel"/>
    <w:tmpl w:val="097C4B7C"/>
    <w:lvl w:ilvl="0" w:tplc="A7642A9A">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35653517">
    <w:abstractNumId w:val="32"/>
  </w:num>
  <w:num w:numId="2" w16cid:durableId="111630371">
    <w:abstractNumId w:val="19"/>
  </w:num>
  <w:num w:numId="3" w16cid:durableId="1512793037">
    <w:abstractNumId w:val="22"/>
  </w:num>
  <w:num w:numId="4" w16cid:durableId="2053798443">
    <w:abstractNumId w:val="13"/>
  </w:num>
  <w:num w:numId="5" w16cid:durableId="1629505679">
    <w:abstractNumId w:val="36"/>
  </w:num>
  <w:num w:numId="6" w16cid:durableId="945622314">
    <w:abstractNumId w:val="31"/>
  </w:num>
  <w:num w:numId="7" w16cid:durableId="331563661">
    <w:abstractNumId w:val="23"/>
  </w:num>
  <w:num w:numId="8" w16cid:durableId="1598513105">
    <w:abstractNumId w:val="18"/>
  </w:num>
  <w:num w:numId="9" w16cid:durableId="909385050">
    <w:abstractNumId w:val="26"/>
  </w:num>
  <w:num w:numId="10" w16cid:durableId="638732561">
    <w:abstractNumId w:val="7"/>
  </w:num>
  <w:num w:numId="11" w16cid:durableId="1945258592">
    <w:abstractNumId w:val="15"/>
  </w:num>
  <w:num w:numId="12" w16cid:durableId="1003975529">
    <w:abstractNumId w:val="17"/>
  </w:num>
  <w:num w:numId="13" w16cid:durableId="1478647599">
    <w:abstractNumId w:val="24"/>
  </w:num>
  <w:num w:numId="14" w16cid:durableId="426341877">
    <w:abstractNumId w:val="12"/>
  </w:num>
  <w:num w:numId="15" w16cid:durableId="1426002423">
    <w:abstractNumId w:val="37"/>
  </w:num>
  <w:num w:numId="16" w16cid:durableId="855852198">
    <w:abstractNumId w:val="25"/>
  </w:num>
  <w:num w:numId="17" w16cid:durableId="1716733541">
    <w:abstractNumId w:val="1"/>
  </w:num>
  <w:num w:numId="18" w16cid:durableId="1120614249">
    <w:abstractNumId w:val="6"/>
  </w:num>
  <w:num w:numId="19" w16cid:durableId="1797092929">
    <w:abstractNumId w:val="39"/>
  </w:num>
  <w:num w:numId="20" w16cid:durableId="1029798386">
    <w:abstractNumId w:val="5"/>
  </w:num>
  <w:num w:numId="21" w16cid:durableId="2130083670">
    <w:abstractNumId w:val="33"/>
  </w:num>
  <w:num w:numId="22" w16cid:durableId="878593532">
    <w:abstractNumId w:val="35"/>
  </w:num>
  <w:num w:numId="23" w16cid:durableId="735980163">
    <w:abstractNumId w:val="29"/>
  </w:num>
  <w:num w:numId="24" w16cid:durableId="2076660620">
    <w:abstractNumId w:val="34"/>
  </w:num>
  <w:num w:numId="25" w16cid:durableId="1276055582">
    <w:abstractNumId w:val="2"/>
  </w:num>
  <w:num w:numId="26" w16cid:durableId="898632341">
    <w:abstractNumId w:val="21"/>
  </w:num>
  <w:num w:numId="27" w16cid:durableId="5602531">
    <w:abstractNumId w:val="30"/>
  </w:num>
  <w:num w:numId="28" w16cid:durableId="552280531">
    <w:abstractNumId w:val="38"/>
  </w:num>
  <w:num w:numId="29" w16cid:durableId="2017609870">
    <w:abstractNumId w:val="10"/>
  </w:num>
  <w:num w:numId="30" w16cid:durableId="617832009">
    <w:abstractNumId w:val="8"/>
  </w:num>
  <w:num w:numId="31" w16cid:durableId="346098789">
    <w:abstractNumId w:val="3"/>
  </w:num>
  <w:num w:numId="32" w16cid:durableId="269164770">
    <w:abstractNumId w:val="20"/>
  </w:num>
  <w:num w:numId="33" w16cid:durableId="1218249928">
    <w:abstractNumId w:val="11"/>
  </w:num>
  <w:num w:numId="34" w16cid:durableId="235825807">
    <w:abstractNumId w:val="16"/>
  </w:num>
  <w:num w:numId="35" w16cid:durableId="861018881">
    <w:abstractNumId w:val="9"/>
  </w:num>
  <w:num w:numId="36" w16cid:durableId="1110273461">
    <w:abstractNumId w:val="0"/>
  </w:num>
  <w:num w:numId="37" w16cid:durableId="17004904">
    <w:abstractNumId w:val="28"/>
  </w:num>
  <w:num w:numId="38" w16cid:durableId="1751343459">
    <w:abstractNumId w:val="27"/>
  </w:num>
  <w:num w:numId="39" w16cid:durableId="1940065387">
    <w:abstractNumId w:val="4"/>
  </w:num>
  <w:num w:numId="40" w16cid:durableId="1667199964">
    <w:abstractNumId w:val="40"/>
  </w:num>
  <w:num w:numId="41" w16cid:durableId="1177428066">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C9D"/>
    <w:rsid w:val="0000007B"/>
    <w:rsid w:val="00000A6B"/>
    <w:rsid w:val="00000F9C"/>
    <w:rsid w:val="00006571"/>
    <w:rsid w:val="00007447"/>
    <w:rsid w:val="00007894"/>
    <w:rsid w:val="00010E75"/>
    <w:rsid w:val="000131F6"/>
    <w:rsid w:val="000143AB"/>
    <w:rsid w:val="00014C5A"/>
    <w:rsid w:val="000152AD"/>
    <w:rsid w:val="00016615"/>
    <w:rsid w:val="00017476"/>
    <w:rsid w:val="00017731"/>
    <w:rsid w:val="00021640"/>
    <w:rsid w:val="00021ABC"/>
    <w:rsid w:val="0002206B"/>
    <w:rsid w:val="00022437"/>
    <w:rsid w:val="0002275D"/>
    <w:rsid w:val="00022963"/>
    <w:rsid w:val="00022D2F"/>
    <w:rsid w:val="0002604D"/>
    <w:rsid w:val="00026354"/>
    <w:rsid w:val="00026BCC"/>
    <w:rsid w:val="000276F8"/>
    <w:rsid w:val="00027EB8"/>
    <w:rsid w:val="0003006A"/>
    <w:rsid w:val="0003070F"/>
    <w:rsid w:val="000326BD"/>
    <w:rsid w:val="00033275"/>
    <w:rsid w:val="0003359F"/>
    <w:rsid w:val="00033B5A"/>
    <w:rsid w:val="00034844"/>
    <w:rsid w:val="00034AD6"/>
    <w:rsid w:val="00034C77"/>
    <w:rsid w:val="0003652B"/>
    <w:rsid w:val="00041878"/>
    <w:rsid w:val="000423AC"/>
    <w:rsid w:val="000541DE"/>
    <w:rsid w:val="0005619A"/>
    <w:rsid w:val="00061E8B"/>
    <w:rsid w:val="00063185"/>
    <w:rsid w:val="000632CF"/>
    <w:rsid w:val="00064581"/>
    <w:rsid w:val="0006689A"/>
    <w:rsid w:val="00066EFD"/>
    <w:rsid w:val="00070185"/>
    <w:rsid w:val="00073E49"/>
    <w:rsid w:val="0007436A"/>
    <w:rsid w:val="00074CFB"/>
    <w:rsid w:val="000752D6"/>
    <w:rsid w:val="00075610"/>
    <w:rsid w:val="00075BAF"/>
    <w:rsid w:val="00075CB7"/>
    <w:rsid w:val="00076057"/>
    <w:rsid w:val="00077A5D"/>
    <w:rsid w:val="000808B6"/>
    <w:rsid w:val="00080C1C"/>
    <w:rsid w:val="00082876"/>
    <w:rsid w:val="00082BCE"/>
    <w:rsid w:val="00082EB1"/>
    <w:rsid w:val="000851B6"/>
    <w:rsid w:val="000860E0"/>
    <w:rsid w:val="00087E91"/>
    <w:rsid w:val="00090768"/>
    <w:rsid w:val="00091FFB"/>
    <w:rsid w:val="0009569F"/>
    <w:rsid w:val="00096326"/>
    <w:rsid w:val="00096409"/>
    <w:rsid w:val="00096508"/>
    <w:rsid w:val="00096561"/>
    <w:rsid w:val="0009659A"/>
    <w:rsid w:val="00096FB4"/>
    <w:rsid w:val="000973F2"/>
    <w:rsid w:val="00097A60"/>
    <w:rsid w:val="00097DA3"/>
    <w:rsid w:val="000A2337"/>
    <w:rsid w:val="000A3A65"/>
    <w:rsid w:val="000A43B0"/>
    <w:rsid w:val="000A48F9"/>
    <w:rsid w:val="000A55DA"/>
    <w:rsid w:val="000A6D8A"/>
    <w:rsid w:val="000B1118"/>
    <w:rsid w:val="000B21ED"/>
    <w:rsid w:val="000B23E8"/>
    <w:rsid w:val="000B2DA3"/>
    <w:rsid w:val="000B3429"/>
    <w:rsid w:val="000B4694"/>
    <w:rsid w:val="000B4CC3"/>
    <w:rsid w:val="000B5C97"/>
    <w:rsid w:val="000B6D77"/>
    <w:rsid w:val="000C00E1"/>
    <w:rsid w:val="000C0A79"/>
    <w:rsid w:val="000C311A"/>
    <w:rsid w:val="000C321E"/>
    <w:rsid w:val="000C390F"/>
    <w:rsid w:val="000C39BB"/>
    <w:rsid w:val="000C3A76"/>
    <w:rsid w:val="000C4D9F"/>
    <w:rsid w:val="000C5CE0"/>
    <w:rsid w:val="000C6A33"/>
    <w:rsid w:val="000C792E"/>
    <w:rsid w:val="000C7976"/>
    <w:rsid w:val="000D0119"/>
    <w:rsid w:val="000D0509"/>
    <w:rsid w:val="000D13D2"/>
    <w:rsid w:val="000D1EEE"/>
    <w:rsid w:val="000D4589"/>
    <w:rsid w:val="000D4AED"/>
    <w:rsid w:val="000D61CE"/>
    <w:rsid w:val="000D6E9E"/>
    <w:rsid w:val="000E00B3"/>
    <w:rsid w:val="000E09A3"/>
    <w:rsid w:val="000E18BA"/>
    <w:rsid w:val="000E2B14"/>
    <w:rsid w:val="000E3B9A"/>
    <w:rsid w:val="000E46CF"/>
    <w:rsid w:val="000E541F"/>
    <w:rsid w:val="000E7A56"/>
    <w:rsid w:val="000F11BE"/>
    <w:rsid w:val="000F1E53"/>
    <w:rsid w:val="000F2A39"/>
    <w:rsid w:val="000F2D85"/>
    <w:rsid w:val="000F2E67"/>
    <w:rsid w:val="000F44A9"/>
    <w:rsid w:val="000F6450"/>
    <w:rsid w:val="000F746A"/>
    <w:rsid w:val="00103AC9"/>
    <w:rsid w:val="001041A8"/>
    <w:rsid w:val="00104D4A"/>
    <w:rsid w:val="00105307"/>
    <w:rsid w:val="00105980"/>
    <w:rsid w:val="00105F96"/>
    <w:rsid w:val="001060CC"/>
    <w:rsid w:val="001102DE"/>
    <w:rsid w:val="0011082E"/>
    <w:rsid w:val="00110940"/>
    <w:rsid w:val="00110B66"/>
    <w:rsid w:val="00110E87"/>
    <w:rsid w:val="0011118A"/>
    <w:rsid w:val="00111465"/>
    <w:rsid w:val="0011174F"/>
    <w:rsid w:val="0011248B"/>
    <w:rsid w:val="00112B99"/>
    <w:rsid w:val="00113997"/>
    <w:rsid w:val="00115F06"/>
    <w:rsid w:val="0011679D"/>
    <w:rsid w:val="001207B9"/>
    <w:rsid w:val="001209DE"/>
    <w:rsid w:val="0012136E"/>
    <w:rsid w:val="00122922"/>
    <w:rsid w:val="00122D4C"/>
    <w:rsid w:val="00123D3D"/>
    <w:rsid w:val="001261E6"/>
    <w:rsid w:val="00127487"/>
    <w:rsid w:val="001278EA"/>
    <w:rsid w:val="00130248"/>
    <w:rsid w:val="00131FF5"/>
    <w:rsid w:val="0013239D"/>
    <w:rsid w:val="00133AC5"/>
    <w:rsid w:val="0013408F"/>
    <w:rsid w:val="001344A2"/>
    <w:rsid w:val="00134EE5"/>
    <w:rsid w:val="00135507"/>
    <w:rsid w:val="0013576B"/>
    <w:rsid w:val="00137708"/>
    <w:rsid w:val="00142932"/>
    <w:rsid w:val="00144D90"/>
    <w:rsid w:val="00145259"/>
    <w:rsid w:val="00152DE5"/>
    <w:rsid w:val="00153220"/>
    <w:rsid w:val="00153AD0"/>
    <w:rsid w:val="00155976"/>
    <w:rsid w:val="00156409"/>
    <w:rsid w:val="0015640D"/>
    <w:rsid w:val="001565EC"/>
    <w:rsid w:val="00162AC2"/>
    <w:rsid w:val="0016307F"/>
    <w:rsid w:val="00163790"/>
    <w:rsid w:val="0016500B"/>
    <w:rsid w:val="00167B3B"/>
    <w:rsid w:val="001712CA"/>
    <w:rsid w:val="00171D0C"/>
    <w:rsid w:val="001727AE"/>
    <w:rsid w:val="0017292E"/>
    <w:rsid w:val="00174486"/>
    <w:rsid w:val="00174A96"/>
    <w:rsid w:val="00175581"/>
    <w:rsid w:val="0017566F"/>
    <w:rsid w:val="0017583B"/>
    <w:rsid w:val="001767A5"/>
    <w:rsid w:val="0018025A"/>
    <w:rsid w:val="001806EA"/>
    <w:rsid w:val="00181F13"/>
    <w:rsid w:val="00182C40"/>
    <w:rsid w:val="00183B85"/>
    <w:rsid w:val="00184207"/>
    <w:rsid w:val="00184A76"/>
    <w:rsid w:val="00184C3B"/>
    <w:rsid w:val="00185451"/>
    <w:rsid w:val="00185BFE"/>
    <w:rsid w:val="00187286"/>
    <w:rsid w:val="00187386"/>
    <w:rsid w:val="00187CF6"/>
    <w:rsid w:val="001900C5"/>
    <w:rsid w:val="00190734"/>
    <w:rsid w:val="0019141A"/>
    <w:rsid w:val="00191FF3"/>
    <w:rsid w:val="001928EC"/>
    <w:rsid w:val="00192D3E"/>
    <w:rsid w:val="0019415A"/>
    <w:rsid w:val="00196259"/>
    <w:rsid w:val="00197F7A"/>
    <w:rsid w:val="001A0887"/>
    <w:rsid w:val="001A1C9D"/>
    <w:rsid w:val="001A4326"/>
    <w:rsid w:val="001A46E1"/>
    <w:rsid w:val="001A4AB2"/>
    <w:rsid w:val="001A5D7D"/>
    <w:rsid w:val="001A5F88"/>
    <w:rsid w:val="001B1177"/>
    <w:rsid w:val="001B1231"/>
    <w:rsid w:val="001B18FE"/>
    <w:rsid w:val="001B24B0"/>
    <w:rsid w:val="001B3D60"/>
    <w:rsid w:val="001B4F9A"/>
    <w:rsid w:val="001B5244"/>
    <w:rsid w:val="001B73A5"/>
    <w:rsid w:val="001C08E9"/>
    <w:rsid w:val="001C16BC"/>
    <w:rsid w:val="001C35D2"/>
    <w:rsid w:val="001C47EB"/>
    <w:rsid w:val="001C5651"/>
    <w:rsid w:val="001C57AE"/>
    <w:rsid w:val="001C594A"/>
    <w:rsid w:val="001C60F4"/>
    <w:rsid w:val="001C7C0E"/>
    <w:rsid w:val="001D09D1"/>
    <w:rsid w:val="001D1D2C"/>
    <w:rsid w:val="001D1D53"/>
    <w:rsid w:val="001D2FCF"/>
    <w:rsid w:val="001D3684"/>
    <w:rsid w:val="001D4B1D"/>
    <w:rsid w:val="001D516F"/>
    <w:rsid w:val="001D51C2"/>
    <w:rsid w:val="001D7F1F"/>
    <w:rsid w:val="001E07B0"/>
    <w:rsid w:val="001E0CCC"/>
    <w:rsid w:val="001E11C9"/>
    <w:rsid w:val="001E1B7F"/>
    <w:rsid w:val="001E2403"/>
    <w:rsid w:val="001E25D4"/>
    <w:rsid w:val="001E3435"/>
    <w:rsid w:val="001E3566"/>
    <w:rsid w:val="001E4DB6"/>
    <w:rsid w:val="001E5E8D"/>
    <w:rsid w:val="001E6CE4"/>
    <w:rsid w:val="001E7EFA"/>
    <w:rsid w:val="001F0170"/>
    <w:rsid w:val="001F1B5F"/>
    <w:rsid w:val="001F2D75"/>
    <w:rsid w:val="001F2DC0"/>
    <w:rsid w:val="001F3BDE"/>
    <w:rsid w:val="001F3C12"/>
    <w:rsid w:val="001F5377"/>
    <w:rsid w:val="001F54FD"/>
    <w:rsid w:val="001F5CB0"/>
    <w:rsid w:val="001F6B34"/>
    <w:rsid w:val="001F6BC6"/>
    <w:rsid w:val="001F7715"/>
    <w:rsid w:val="001F7A7E"/>
    <w:rsid w:val="0020037B"/>
    <w:rsid w:val="00201E3C"/>
    <w:rsid w:val="00203570"/>
    <w:rsid w:val="002050D6"/>
    <w:rsid w:val="00205480"/>
    <w:rsid w:val="00205546"/>
    <w:rsid w:val="002055EF"/>
    <w:rsid w:val="00205790"/>
    <w:rsid w:val="00206877"/>
    <w:rsid w:val="00207A7A"/>
    <w:rsid w:val="00207C3D"/>
    <w:rsid w:val="00211605"/>
    <w:rsid w:val="00211C5A"/>
    <w:rsid w:val="002127C0"/>
    <w:rsid w:val="002131E0"/>
    <w:rsid w:val="00215C06"/>
    <w:rsid w:val="00215EEC"/>
    <w:rsid w:val="0021613F"/>
    <w:rsid w:val="002177E9"/>
    <w:rsid w:val="00217866"/>
    <w:rsid w:val="00222A5F"/>
    <w:rsid w:val="00222CAB"/>
    <w:rsid w:val="002242CE"/>
    <w:rsid w:val="00226110"/>
    <w:rsid w:val="0022705B"/>
    <w:rsid w:val="002316D7"/>
    <w:rsid w:val="00231F91"/>
    <w:rsid w:val="002331FB"/>
    <w:rsid w:val="002359AC"/>
    <w:rsid w:val="00237C23"/>
    <w:rsid w:val="00242D21"/>
    <w:rsid w:val="0024323A"/>
    <w:rsid w:val="00244A0C"/>
    <w:rsid w:val="002461D2"/>
    <w:rsid w:val="00246D4D"/>
    <w:rsid w:val="002473F3"/>
    <w:rsid w:val="0024780B"/>
    <w:rsid w:val="00247854"/>
    <w:rsid w:val="00247B03"/>
    <w:rsid w:val="002530ED"/>
    <w:rsid w:val="00254DAD"/>
    <w:rsid w:val="00254E96"/>
    <w:rsid w:val="0025543B"/>
    <w:rsid w:val="0025621F"/>
    <w:rsid w:val="00256B39"/>
    <w:rsid w:val="00257DFE"/>
    <w:rsid w:val="00257E49"/>
    <w:rsid w:val="002600D7"/>
    <w:rsid w:val="002606F8"/>
    <w:rsid w:val="00262AA1"/>
    <w:rsid w:val="002647EE"/>
    <w:rsid w:val="00264D64"/>
    <w:rsid w:val="00264DD3"/>
    <w:rsid w:val="002650B0"/>
    <w:rsid w:val="00266254"/>
    <w:rsid w:val="00266D02"/>
    <w:rsid w:val="002706A3"/>
    <w:rsid w:val="002717F8"/>
    <w:rsid w:val="00271AFB"/>
    <w:rsid w:val="002735AF"/>
    <w:rsid w:val="002736BF"/>
    <w:rsid w:val="002743BD"/>
    <w:rsid w:val="0027452A"/>
    <w:rsid w:val="00274650"/>
    <w:rsid w:val="002747EA"/>
    <w:rsid w:val="00275D46"/>
    <w:rsid w:val="00277DDB"/>
    <w:rsid w:val="0028006B"/>
    <w:rsid w:val="00280D12"/>
    <w:rsid w:val="00281324"/>
    <w:rsid w:val="0028300B"/>
    <w:rsid w:val="00286179"/>
    <w:rsid w:val="002861B3"/>
    <w:rsid w:val="0028755E"/>
    <w:rsid w:val="0028765A"/>
    <w:rsid w:val="00287936"/>
    <w:rsid w:val="00287D7E"/>
    <w:rsid w:val="00290336"/>
    <w:rsid w:val="0029206C"/>
    <w:rsid w:val="00294F18"/>
    <w:rsid w:val="0029526A"/>
    <w:rsid w:val="00295BFE"/>
    <w:rsid w:val="002973A3"/>
    <w:rsid w:val="002A042B"/>
    <w:rsid w:val="002A5F71"/>
    <w:rsid w:val="002B1CD4"/>
    <w:rsid w:val="002B3AAA"/>
    <w:rsid w:val="002B3B18"/>
    <w:rsid w:val="002B41A1"/>
    <w:rsid w:val="002B4964"/>
    <w:rsid w:val="002B58CE"/>
    <w:rsid w:val="002B5E68"/>
    <w:rsid w:val="002C0F21"/>
    <w:rsid w:val="002C100C"/>
    <w:rsid w:val="002C1865"/>
    <w:rsid w:val="002C2CB3"/>
    <w:rsid w:val="002C4B21"/>
    <w:rsid w:val="002C63DC"/>
    <w:rsid w:val="002C7E1D"/>
    <w:rsid w:val="002C7F92"/>
    <w:rsid w:val="002D05EA"/>
    <w:rsid w:val="002D3B68"/>
    <w:rsid w:val="002D42F6"/>
    <w:rsid w:val="002D6724"/>
    <w:rsid w:val="002E01D4"/>
    <w:rsid w:val="002E0C9F"/>
    <w:rsid w:val="002E1791"/>
    <w:rsid w:val="002E29F1"/>
    <w:rsid w:val="002E3404"/>
    <w:rsid w:val="002E5C46"/>
    <w:rsid w:val="002E6514"/>
    <w:rsid w:val="002E7B8F"/>
    <w:rsid w:val="002F1234"/>
    <w:rsid w:val="002F1607"/>
    <w:rsid w:val="002F1AE6"/>
    <w:rsid w:val="002F2748"/>
    <w:rsid w:val="002F34B9"/>
    <w:rsid w:val="002F5505"/>
    <w:rsid w:val="002F5E91"/>
    <w:rsid w:val="002F623F"/>
    <w:rsid w:val="002F6276"/>
    <w:rsid w:val="002F6B35"/>
    <w:rsid w:val="002F7C56"/>
    <w:rsid w:val="003008CD"/>
    <w:rsid w:val="00301769"/>
    <w:rsid w:val="003019E5"/>
    <w:rsid w:val="00302D84"/>
    <w:rsid w:val="00302F36"/>
    <w:rsid w:val="003040D2"/>
    <w:rsid w:val="003042A2"/>
    <w:rsid w:val="00304B78"/>
    <w:rsid w:val="00304BF8"/>
    <w:rsid w:val="00304F0E"/>
    <w:rsid w:val="00305623"/>
    <w:rsid w:val="00307CCA"/>
    <w:rsid w:val="0031126E"/>
    <w:rsid w:val="00311395"/>
    <w:rsid w:val="0031444F"/>
    <w:rsid w:val="003147B2"/>
    <w:rsid w:val="003156A9"/>
    <w:rsid w:val="003156C0"/>
    <w:rsid w:val="003158FE"/>
    <w:rsid w:val="00316711"/>
    <w:rsid w:val="00316B7D"/>
    <w:rsid w:val="0031764F"/>
    <w:rsid w:val="00317D38"/>
    <w:rsid w:val="00320041"/>
    <w:rsid w:val="00322E7E"/>
    <w:rsid w:val="00323B21"/>
    <w:rsid w:val="00323EB0"/>
    <w:rsid w:val="003244DC"/>
    <w:rsid w:val="00326D6F"/>
    <w:rsid w:val="003272AF"/>
    <w:rsid w:val="003273E2"/>
    <w:rsid w:val="003276F4"/>
    <w:rsid w:val="0033056F"/>
    <w:rsid w:val="00332CA1"/>
    <w:rsid w:val="00333595"/>
    <w:rsid w:val="00333BC1"/>
    <w:rsid w:val="00333EC8"/>
    <w:rsid w:val="003355C3"/>
    <w:rsid w:val="003365BD"/>
    <w:rsid w:val="003376E7"/>
    <w:rsid w:val="00340908"/>
    <w:rsid w:val="00341066"/>
    <w:rsid w:val="00341DF7"/>
    <w:rsid w:val="00343F08"/>
    <w:rsid w:val="003441E9"/>
    <w:rsid w:val="00344491"/>
    <w:rsid w:val="003444B6"/>
    <w:rsid w:val="003449D1"/>
    <w:rsid w:val="003452C4"/>
    <w:rsid w:val="00346268"/>
    <w:rsid w:val="00346A87"/>
    <w:rsid w:val="00346B53"/>
    <w:rsid w:val="003479E9"/>
    <w:rsid w:val="00347A4E"/>
    <w:rsid w:val="00350E94"/>
    <w:rsid w:val="00350ED3"/>
    <w:rsid w:val="003515EA"/>
    <w:rsid w:val="00351F90"/>
    <w:rsid w:val="00352616"/>
    <w:rsid w:val="00353FF7"/>
    <w:rsid w:val="00354819"/>
    <w:rsid w:val="00354D29"/>
    <w:rsid w:val="00356402"/>
    <w:rsid w:val="00360B36"/>
    <w:rsid w:val="003620D2"/>
    <w:rsid w:val="00362B57"/>
    <w:rsid w:val="00362C27"/>
    <w:rsid w:val="00364C40"/>
    <w:rsid w:val="00365251"/>
    <w:rsid w:val="003658C6"/>
    <w:rsid w:val="003662DE"/>
    <w:rsid w:val="00366593"/>
    <w:rsid w:val="00366698"/>
    <w:rsid w:val="00367ECC"/>
    <w:rsid w:val="00372730"/>
    <w:rsid w:val="00373CED"/>
    <w:rsid w:val="00375C45"/>
    <w:rsid w:val="003811F0"/>
    <w:rsid w:val="003814F4"/>
    <w:rsid w:val="00382C86"/>
    <w:rsid w:val="00384726"/>
    <w:rsid w:val="00387A0E"/>
    <w:rsid w:val="00391131"/>
    <w:rsid w:val="00391613"/>
    <w:rsid w:val="00392E98"/>
    <w:rsid w:val="00395C76"/>
    <w:rsid w:val="003A0CC1"/>
    <w:rsid w:val="003A1CB7"/>
    <w:rsid w:val="003A2230"/>
    <w:rsid w:val="003A359C"/>
    <w:rsid w:val="003A433B"/>
    <w:rsid w:val="003A44CB"/>
    <w:rsid w:val="003A4C92"/>
    <w:rsid w:val="003A4FB7"/>
    <w:rsid w:val="003A5118"/>
    <w:rsid w:val="003A5291"/>
    <w:rsid w:val="003A5C7A"/>
    <w:rsid w:val="003B023B"/>
    <w:rsid w:val="003B0D22"/>
    <w:rsid w:val="003B153C"/>
    <w:rsid w:val="003B19E3"/>
    <w:rsid w:val="003B2A4C"/>
    <w:rsid w:val="003B3733"/>
    <w:rsid w:val="003B5307"/>
    <w:rsid w:val="003B5E0F"/>
    <w:rsid w:val="003B7AF8"/>
    <w:rsid w:val="003C00AB"/>
    <w:rsid w:val="003C2B07"/>
    <w:rsid w:val="003C3259"/>
    <w:rsid w:val="003C44C5"/>
    <w:rsid w:val="003C5628"/>
    <w:rsid w:val="003C5A97"/>
    <w:rsid w:val="003D09CD"/>
    <w:rsid w:val="003D1D07"/>
    <w:rsid w:val="003D2EAE"/>
    <w:rsid w:val="003D3E06"/>
    <w:rsid w:val="003D4DC0"/>
    <w:rsid w:val="003D70A3"/>
    <w:rsid w:val="003E1518"/>
    <w:rsid w:val="003E1BEE"/>
    <w:rsid w:val="003E1D51"/>
    <w:rsid w:val="003E2D40"/>
    <w:rsid w:val="003E3723"/>
    <w:rsid w:val="003E4B65"/>
    <w:rsid w:val="003E4C66"/>
    <w:rsid w:val="003E56A0"/>
    <w:rsid w:val="003E5F80"/>
    <w:rsid w:val="003F09A5"/>
    <w:rsid w:val="003F116B"/>
    <w:rsid w:val="003F1C65"/>
    <w:rsid w:val="003F2BB2"/>
    <w:rsid w:val="003F2EBF"/>
    <w:rsid w:val="003F4193"/>
    <w:rsid w:val="003F4ED2"/>
    <w:rsid w:val="003F5A4E"/>
    <w:rsid w:val="003F5C3A"/>
    <w:rsid w:val="00401654"/>
    <w:rsid w:val="00401708"/>
    <w:rsid w:val="00402812"/>
    <w:rsid w:val="00403F5A"/>
    <w:rsid w:val="004053E0"/>
    <w:rsid w:val="004054F0"/>
    <w:rsid w:val="00412E1D"/>
    <w:rsid w:val="0041504B"/>
    <w:rsid w:val="00416A3E"/>
    <w:rsid w:val="0041758A"/>
    <w:rsid w:val="0042048F"/>
    <w:rsid w:val="00420D33"/>
    <w:rsid w:val="00423D13"/>
    <w:rsid w:val="0042598F"/>
    <w:rsid w:val="00426AD7"/>
    <w:rsid w:val="00427AC0"/>
    <w:rsid w:val="00427C34"/>
    <w:rsid w:val="00430E5C"/>
    <w:rsid w:val="004329A9"/>
    <w:rsid w:val="00433782"/>
    <w:rsid w:val="00435229"/>
    <w:rsid w:val="00435276"/>
    <w:rsid w:val="004355ED"/>
    <w:rsid w:val="00436464"/>
    <w:rsid w:val="0043695B"/>
    <w:rsid w:val="00437B6B"/>
    <w:rsid w:val="00437F8E"/>
    <w:rsid w:val="004402B9"/>
    <w:rsid w:val="004409D2"/>
    <w:rsid w:val="00440AD7"/>
    <w:rsid w:val="00440C24"/>
    <w:rsid w:val="004415F2"/>
    <w:rsid w:val="00441713"/>
    <w:rsid w:val="004444A0"/>
    <w:rsid w:val="00444B3E"/>
    <w:rsid w:val="0045029A"/>
    <w:rsid w:val="00450C99"/>
    <w:rsid w:val="0045112E"/>
    <w:rsid w:val="0045178E"/>
    <w:rsid w:val="00451EDE"/>
    <w:rsid w:val="00453502"/>
    <w:rsid w:val="0045449C"/>
    <w:rsid w:val="0045661E"/>
    <w:rsid w:val="0045717B"/>
    <w:rsid w:val="004602AB"/>
    <w:rsid w:val="00462662"/>
    <w:rsid w:val="00462AA8"/>
    <w:rsid w:val="00463498"/>
    <w:rsid w:val="00463EAB"/>
    <w:rsid w:val="00464E70"/>
    <w:rsid w:val="00465304"/>
    <w:rsid w:val="00465981"/>
    <w:rsid w:val="00465ACF"/>
    <w:rsid w:val="00466799"/>
    <w:rsid w:val="00470587"/>
    <w:rsid w:val="00470F7C"/>
    <w:rsid w:val="004740C4"/>
    <w:rsid w:val="00474524"/>
    <w:rsid w:val="00474ADB"/>
    <w:rsid w:val="0047560A"/>
    <w:rsid w:val="0047647C"/>
    <w:rsid w:val="00477A35"/>
    <w:rsid w:val="00481C6E"/>
    <w:rsid w:val="004830DD"/>
    <w:rsid w:val="00483318"/>
    <w:rsid w:val="00483798"/>
    <w:rsid w:val="004837A1"/>
    <w:rsid w:val="00486789"/>
    <w:rsid w:val="00486F89"/>
    <w:rsid w:val="00491EAE"/>
    <w:rsid w:val="00493E40"/>
    <w:rsid w:val="00494C71"/>
    <w:rsid w:val="00496567"/>
    <w:rsid w:val="0049698D"/>
    <w:rsid w:val="004A0D6D"/>
    <w:rsid w:val="004A1CFF"/>
    <w:rsid w:val="004A2ADD"/>
    <w:rsid w:val="004A643E"/>
    <w:rsid w:val="004A6FBB"/>
    <w:rsid w:val="004A7236"/>
    <w:rsid w:val="004B0ED9"/>
    <w:rsid w:val="004B19A0"/>
    <w:rsid w:val="004B6D65"/>
    <w:rsid w:val="004B7C54"/>
    <w:rsid w:val="004C0926"/>
    <w:rsid w:val="004C14C7"/>
    <w:rsid w:val="004C1EB2"/>
    <w:rsid w:val="004C4A42"/>
    <w:rsid w:val="004C5359"/>
    <w:rsid w:val="004C6E40"/>
    <w:rsid w:val="004C76EF"/>
    <w:rsid w:val="004D30EB"/>
    <w:rsid w:val="004D31CA"/>
    <w:rsid w:val="004D3805"/>
    <w:rsid w:val="004D434E"/>
    <w:rsid w:val="004D5C85"/>
    <w:rsid w:val="004E0F24"/>
    <w:rsid w:val="004E189A"/>
    <w:rsid w:val="004E282A"/>
    <w:rsid w:val="004E2D4B"/>
    <w:rsid w:val="004E4973"/>
    <w:rsid w:val="004E4F47"/>
    <w:rsid w:val="004F0659"/>
    <w:rsid w:val="004F0E65"/>
    <w:rsid w:val="004F4445"/>
    <w:rsid w:val="004F52A9"/>
    <w:rsid w:val="004F590B"/>
    <w:rsid w:val="004F673E"/>
    <w:rsid w:val="004F7159"/>
    <w:rsid w:val="004F7187"/>
    <w:rsid w:val="004F72AA"/>
    <w:rsid w:val="004F76D3"/>
    <w:rsid w:val="004F7905"/>
    <w:rsid w:val="00500136"/>
    <w:rsid w:val="00500B00"/>
    <w:rsid w:val="005010C6"/>
    <w:rsid w:val="00503257"/>
    <w:rsid w:val="00503ADB"/>
    <w:rsid w:val="00503D58"/>
    <w:rsid w:val="005047D7"/>
    <w:rsid w:val="00504868"/>
    <w:rsid w:val="00505203"/>
    <w:rsid w:val="005075BE"/>
    <w:rsid w:val="00510503"/>
    <w:rsid w:val="005114DF"/>
    <w:rsid w:val="00511B4A"/>
    <w:rsid w:val="00512AE3"/>
    <w:rsid w:val="00516C5A"/>
    <w:rsid w:val="00520D9C"/>
    <w:rsid w:val="00521F78"/>
    <w:rsid w:val="005246C8"/>
    <w:rsid w:val="00525474"/>
    <w:rsid w:val="00527B09"/>
    <w:rsid w:val="00527C7E"/>
    <w:rsid w:val="005320C0"/>
    <w:rsid w:val="00532CDD"/>
    <w:rsid w:val="00533EFF"/>
    <w:rsid w:val="00534A65"/>
    <w:rsid w:val="005407A5"/>
    <w:rsid w:val="00540835"/>
    <w:rsid w:val="0054398A"/>
    <w:rsid w:val="00543C48"/>
    <w:rsid w:val="005464D8"/>
    <w:rsid w:val="00547EE2"/>
    <w:rsid w:val="00547F53"/>
    <w:rsid w:val="0055008F"/>
    <w:rsid w:val="005504DD"/>
    <w:rsid w:val="00550A8D"/>
    <w:rsid w:val="0055154B"/>
    <w:rsid w:val="00551DB0"/>
    <w:rsid w:val="00552522"/>
    <w:rsid w:val="00552AF3"/>
    <w:rsid w:val="005543E3"/>
    <w:rsid w:val="00554E1D"/>
    <w:rsid w:val="005552C1"/>
    <w:rsid w:val="0055679E"/>
    <w:rsid w:val="00556A9E"/>
    <w:rsid w:val="00556F80"/>
    <w:rsid w:val="00557823"/>
    <w:rsid w:val="00557E8E"/>
    <w:rsid w:val="00557F96"/>
    <w:rsid w:val="00557FDB"/>
    <w:rsid w:val="00561641"/>
    <w:rsid w:val="00562E8C"/>
    <w:rsid w:val="00563589"/>
    <w:rsid w:val="00566AF8"/>
    <w:rsid w:val="00567928"/>
    <w:rsid w:val="00571161"/>
    <w:rsid w:val="00572362"/>
    <w:rsid w:val="00572555"/>
    <w:rsid w:val="00573554"/>
    <w:rsid w:val="00573701"/>
    <w:rsid w:val="00576116"/>
    <w:rsid w:val="0057625A"/>
    <w:rsid w:val="00576F26"/>
    <w:rsid w:val="00581BCE"/>
    <w:rsid w:val="00583A24"/>
    <w:rsid w:val="00586F4F"/>
    <w:rsid w:val="00590646"/>
    <w:rsid w:val="00590FF9"/>
    <w:rsid w:val="00592123"/>
    <w:rsid w:val="005928BB"/>
    <w:rsid w:val="0059454B"/>
    <w:rsid w:val="00594D01"/>
    <w:rsid w:val="005968FE"/>
    <w:rsid w:val="00596ABE"/>
    <w:rsid w:val="00596F05"/>
    <w:rsid w:val="00596FA3"/>
    <w:rsid w:val="005A0314"/>
    <w:rsid w:val="005A0C8E"/>
    <w:rsid w:val="005A0EE2"/>
    <w:rsid w:val="005A108E"/>
    <w:rsid w:val="005A1678"/>
    <w:rsid w:val="005A20BF"/>
    <w:rsid w:val="005A2A3C"/>
    <w:rsid w:val="005A3317"/>
    <w:rsid w:val="005A4482"/>
    <w:rsid w:val="005A4CA7"/>
    <w:rsid w:val="005A4F7F"/>
    <w:rsid w:val="005A576F"/>
    <w:rsid w:val="005A7C03"/>
    <w:rsid w:val="005B0C27"/>
    <w:rsid w:val="005B24E6"/>
    <w:rsid w:val="005B28C8"/>
    <w:rsid w:val="005B3814"/>
    <w:rsid w:val="005B59F4"/>
    <w:rsid w:val="005B6079"/>
    <w:rsid w:val="005B625D"/>
    <w:rsid w:val="005C09B2"/>
    <w:rsid w:val="005C1891"/>
    <w:rsid w:val="005C3AC2"/>
    <w:rsid w:val="005C6D2A"/>
    <w:rsid w:val="005C76E2"/>
    <w:rsid w:val="005D1BE5"/>
    <w:rsid w:val="005D1EE0"/>
    <w:rsid w:val="005D3162"/>
    <w:rsid w:val="005D32D0"/>
    <w:rsid w:val="005D4F9E"/>
    <w:rsid w:val="005D55BD"/>
    <w:rsid w:val="005D6ACA"/>
    <w:rsid w:val="005D79DE"/>
    <w:rsid w:val="005E0E19"/>
    <w:rsid w:val="005E35F7"/>
    <w:rsid w:val="005E3935"/>
    <w:rsid w:val="005E71C7"/>
    <w:rsid w:val="005E7DFD"/>
    <w:rsid w:val="005E7E15"/>
    <w:rsid w:val="005F4851"/>
    <w:rsid w:val="005F5ECF"/>
    <w:rsid w:val="005F6A94"/>
    <w:rsid w:val="005F70A7"/>
    <w:rsid w:val="005F7214"/>
    <w:rsid w:val="00600CD4"/>
    <w:rsid w:val="00601059"/>
    <w:rsid w:val="00601F41"/>
    <w:rsid w:val="0060287F"/>
    <w:rsid w:val="00602DA0"/>
    <w:rsid w:val="00604058"/>
    <w:rsid w:val="00604799"/>
    <w:rsid w:val="00605CFC"/>
    <w:rsid w:val="0061059E"/>
    <w:rsid w:val="0061064E"/>
    <w:rsid w:val="00612362"/>
    <w:rsid w:val="00612E96"/>
    <w:rsid w:val="00613364"/>
    <w:rsid w:val="00613C18"/>
    <w:rsid w:val="0061756C"/>
    <w:rsid w:val="00621081"/>
    <w:rsid w:val="00621900"/>
    <w:rsid w:val="00621A12"/>
    <w:rsid w:val="006225DE"/>
    <w:rsid w:val="006231F6"/>
    <w:rsid w:val="0062459D"/>
    <w:rsid w:val="00624B7C"/>
    <w:rsid w:val="0062798E"/>
    <w:rsid w:val="00630F7F"/>
    <w:rsid w:val="00631686"/>
    <w:rsid w:val="00631FE1"/>
    <w:rsid w:val="00632C5D"/>
    <w:rsid w:val="006340E5"/>
    <w:rsid w:val="00634B0D"/>
    <w:rsid w:val="006373A2"/>
    <w:rsid w:val="00640809"/>
    <w:rsid w:val="0064106D"/>
    <w:rsid w:val="006413D2"/>
    <w:rsid w:val="0064226D"/>
    <w:rsid w:val="0064252F"/>
    <w:rsid w:val="006438E4"/>
    <w:rsid w:val="006449AE"/>
    <w:rsid w:val="006469B2"/>
    <w:rsid w:val="00650FAF"/>
    <w:rsid w:val="00650FD1"/>
    <w:rsid w:val="00652BE4"/>
    <w:rsid w:val="006534C8"/>
    <w:rsid w:val="006543E5"/>
    <w:rsid w:val="00656219"/>
    <w:rsid w:val="00656BBE"/>
    <w:rsid w:val="00657BFF"/>
    <w:rsid w:val="00661112"/>
    <w:rsid w:val="00661B29"/>
    <w:rsid w:val="00662C5F"/>
    <w:rsid w:val="00663063"/>
    <w:rsid w:val="00664F6B"/>
    <w:rsid w:val="00665551"/>
    <w:rsid w:val="00665F4B"/>
    <w:rsid w:val="00665FD9"/>
    <w:rsid w:val="00670E03"/>
    <w:rsid w:val="00672414"/>
    <w:rsid w:val="0067378A"/>
    <w:rsid w:val="00673CA9"/>
    <w:rsid w:val="00675D04"/>
    <w:rsid w:val="00675D20"/>
    <w:rsid w:val="00676064"/>
    <w:rsid w:val="00676C54"/>
    <w:rsid w:val="006810C4"/>
    <w:rsid w:val="00681176"/>
    <w:rsid w:val="00682FB1"/>
    <w:rsid w:val="0068362D"/>
    <w:rsid w:val="00684208"/>
    <w:rsid w:val="00685B03"/>
    <w:rsid w:val="00686C87"/>
    <w:rsid w:val="00690ECE"/>
    <w:rsid w:val="00691C75"/>
    <w:rsid w:val="00694533"/>
    <w:rsid w:val="0069502B"/>
    <w:rsid w:val="006956D0"/>
    <w:rsid w:val="00695B36"/>
    <w:rsid w:val="0069642D"/>
    <w:rsid w:val="006979E3"/>
    <w:rsid w:val="006A020F"/>
    <w:rsid w:val="006A0804"/>
    <w:rsid w:val="006A11D5"/>
    <w:rsid w:val="006A169A"/>
    <w:rsid w:val="006A174C"/>
    <w:rsid w:val="006A22FA"/>
    <w:rsid w:val="006A293F"/>
    <w:rsid w:val="006B32C7"/>
    <w:rsid w:val="006B3DCC"/>
    <w:rsid w:val="006B454C"/>
    <w:rsid w:val="006B4806"/>
    <w:rsid w:val="006B4FC5"/>
    <w:rsid w:val="006B6A29"/>
    <w:rsid w:val="006B6DA2"/>
    <w:rsid w:val="006B6F8F"/>
    <w:rsid w:val="006B7B6C"/>
    <w:rsid w:val="006C09A4"/>
    <w:rsid w:val="006C2302"/>
    <w:rsid w:val="006C23B3"/>
    <w:rsid w:val="006C2417"/>
    <w:rsid w:val="006C46B4"/>
    <w:rsid w:val="006C4958"/>
    <w:rsid w:val="006C5242"/>
    <w:rsid w:val="006C58B5"/>
    <w:rsid w:val="006C6B5D"/>
    <w:rsid w:val="006C6C8B"/>
    <w:rsid w:val="006D0173"/>
    <w:rsid w:val="006D74DE"/>
    <w:rsid w:val="006D7625"/>
    <w:rsid w:val="006E3357"/>
    <w:rsid w:val="006E3E6F"/>
    <w:rsid w:val="006E4064"/>
    <w:rsid w:val="006E495E"/>
    <w:rsid w:val="006E61C4"/>
    <w:rsid w:val="006F0347"/>
    <w:rsid w:val="006F1FB6"/>
    <w:rsid w:val="006F4DAE"/>
    <w:rsid w:val="006F4E0F"/>
    <w:rsid w:val="006F54D7"/>
    <w:rsid w:val="006F5CA0"/>
    <w:rsid w:val="006F68CA"/>
    <w:rsid w:val="006F6A85"/>
    <w:rsid w:val="0070139F"/>
    <w:rsid w:val="007021C2"/>
    <w:rsid w:val="007036D8"/>
    <w:rsid w:val="00703FC5"/>
    <w:rsid w:val="007049E0"/>
    <w:rsid w:val="007054B8"/>
    <w:rsid w:val="00705DD7"/>
    <w:rsid w:val="00706FC4"/>
    <w:rsid w:val="0071075E"/>
    <w:rsid w:val="00711E1E"/>
    <w:rsid w:val="0071236C"/>
    <w:rsid w:val="00712386"/>
    <w:rsid w:val="00712993"/>
    <w:rsid w:val="00713BED"/>
    <w:rsid w:val="00713DEA"/>
    <w:rsid w:val="00715614"/>
    <w:rsid w:val="007157AC"/>
    <w:rsid w:val="0071696B"/>
    <w:rsid w:val="00716BDA"/>
    <w:rsid w:val="007202A9"/>
    <w:rsid w:val="00720E6A"/>
    <w:rsid w:val="00721296"/>
    <w:rsid w:val="0072171D"/>
    <w:rsid w:val="00721B78"/>
    <w:rsid w:val="00721EED"/>
    <w:rsid w:val="00723978"/>
    <w:rsid w:val="00724A3E"/>
    <w:rsid w:val="00725D7E"/>
    <w:rsid w:val="007261BA"/>
    <w:rsid w:val="00726B83"/>
    <w:rsid w:val="00730690"/>
    <w:rsid w:val="007325AF"/>
    <w:rsid w:val="00732D97"/>
    <w:rsid w:val="007330DC"/>
    <w:rsid w:val="00733C12"/>
    <w:rsid w:val="00733C58"/>
    <w:rsid w:val="00734969"/>
    <w:rsid w:val="00734A28"/>
    <w:rsid w:val="00734A30"/>
    <w:rsid w:val="00735CC0"/>
    <w:rsid w:val="007373CD"/>
    <w:rsid w:val="00737AF5"/>
    <w:rsid w:val="007400C1"/>
    <w:rsid w:val="00740E02"/>
    <w:rsid w:val="00741380"/>
    <w:rsid w:val="007434D2"/>
    <w:rsid w:val="00743E65"/>
    <w:rsid w:val="00744F3F"/>
    <w:rsid w:val="007451F3"/>
    <w:rsid w:val="00745A5E"/>
    <w:rsid w:val="007464D6"/>
    <w:rsid w:val="00747E47"/>
    <w:rsid w:val="007501AF"/>
    <w:rsid w:val="007504E8"/>
    <w:rsid w:val="00750644"/>
    <w:rsid w:val="0075094C"/>
    <w:rsid w:val="00751630"/>
    <w:rsid w:val="007516FF"/>
    <w:rsid w:val="00751729"/>
    <w:rsid w:val="00751FD9"/>
    <w:rsid w:val="00754862"/>
    <w:rsid w:val="00755B2B"/>
    <w:rsid w:val="00755DB7"/>
    <w:rsid w:val="00760D44"/>
    <w:rsid w:val="0076473A"/>
    <w:rsid w:val="007674FD"/>
    <w:rsid w:val="00770A86"/>
    <w:rsid w:val="007713B2"/>
    <w:rsid w:val="0077144A"/>
    <w:rsid w:val="0077303B"/>
    <w:rsid w:val="00774E22"/>
    <w:rsid w:val="00775F67"/>
    <w:rsid w:val="007763C5"/>
    <w:rsid w:val="007773AA"/>
    <w:rsid w:val="00777DAE"/>
    <w:rsid w:val="00780D7A"/>
    <w:rsid w:val="007816E0"/>
    <w:rsid w:val="00781F03"/>
    <w:rsid w:val="00782536"/>
    <w:rsid w:val="00782FDD"/>
    <w:rsid w:val="007833FD"/>
    <w:rsid w:val="00783EB3"/>
    <w:rsid w:val="00786335"/>
    <w:rsid w:val="00786525"/>
    <w:rsid w:val="00787167"/>
    <w:rsid w:val="00787A9E"/>
    <w:rsid w:val="00790533"/>
    <w:rsid w:val="00791953"/>
    <w:rsid w:val="00793489"/>
    <w:rsid w:val="00794D4B"/>
    <w:rsid w:val="00797A1B"/>
    <w:rsid w:val="007A07B0"/>
    <w:rsid w:val="007A0BFD"/>
    <w:rsid w:val="007A0C75"/>
    <w:rsid w:val="007A1AE5"/>
    <w:rsid w:val="007A27F1"/>
    <w:rsid w:val="007A280A"/>
    <w:rsid w:val="007A2D32"/>
    <w:rsid w:val="007A577A"/>
    <w:rsid w:val="007A5C54"/>
    <w:rsid w:val="007A621C"/>
    <w:rsid w:val="007A7FEC"/>
    <w:rsid w:val="007B234F"/>
    <w:rsid w:val="007B514B"/>
    <w:rsid w:val="007B584C"/>
    <w:rsid w:val="007B6CC7"/>
    <w:rsid w:val="007B724C"/>
    <w:rsid w:val="007C054B"/>
    <w:rsid w:val="007C07C7"/>
    <w:rsid w:val="007C0AA5"/>
    <w:rsid w:val="007C3AC7"/>
    <w:rsid w:val="007C6F08"/>
    <w:rsid w:val="007C72B5"/>
    <w:rsid w:val="007C79E6"/>
    <w:rsid w:val="007C7D42"/>
    <w:rsid w:val="007D0041"/>
    <w:rsid w:val="007D26EE"/>
    <w:rsid w:val="007D48C6"/>
    <w:rsid w:val="007D62A3"/>
    <w:rsid w:val="007D7ECB"/>
    <w:rsid w:val="007E0296"/>
    <w:rsid w:val="007E15B5"/>
    <w:rsid w:val="007E1A39"/>
    <w:rsid w:val="007E1E7C"/>
    <w:rsid w:val="007E2095"/>
    <w:rsid w:val="007E2984"/>
    <w:rsid w:val="007E2F47"/>
    <w:rsid w:val="007E39AF"/>
    <w:rsid w:val="007E45B0"/>
    <w:rsid w:val="007E546F"/>
    <w:rsid w:val="007E5CB5"/>
    <w:rsid w:val="007E61A9"/>
    <w:rsid w:val="007E65B9"/>
    <w:rsid w:val="007F1052"/>
    <w:rsid w:val="007F4B8D"/>
    <w:rsid w:val="0080057B"/>
    <w:rsid w:val="00802645"/>
    <w:rsid w:val="0080359F"/>
    <w:rsid w:val="008035A1"/>
    <w:rsid w:val="00806A5E"/>
    <w:rsid w:val="0081157C"/>
    <w:rsid w:val="0081265D"/>
    <w:rsid w:val="00812A66"/>
    <w:rsid w:val="00814F0E"/>
    <w:rsid w:val="00815900"/>
    <w:rsid w:val="00815913"/>
    <w:rsid w:val="0082395B"/>
    <w:rsid w:val="00823D85"/>
    <w:rsid w:val="00825C8F"/>
    <w:rsid w:val="008261B7"/>
    <w:rsid w:val="00826D24"/>
    <w:rsid w:val="00827CF8"/>
    <w:rsid w:val="00827FCC"/>
    <w:rsid w:val="008302B8"/>
    <w:rsid w:val="008309F7"/>
    <w:rsid w:val="00831FF9"/>
    <w:rsid w:val="0083328B"/>
    <w:rsid w:val="00834875"/>
    <w:rsid w:val="00836CA5"/>
    <w:rsid w:val="00840A1B"/>
    <w:rsid w:val="0084343F"/>
    <w:rsid w:val="00844A47"/>
    <w:rsid w:val="00846B24"/>
    <w:rsid w:val="00851225"/>
    <w:rsid w:val="008528AB"/>
    <w:rsid w:val="00853D6D"/>
    <w:rsid w:val="00860538"/>
    <w:rsid w:val="008607B4"/>
    <w:rsid w:val="00861371"/>
    <w:rsid w:val="00864025"/>
    <w:rsid w:val="008640DF"/>
    <w:rsid w:val="00865B17"/>
    <w:rsid w:val="008673AC"/>
    <w:rsid w:val="0086795A"/>
    <w:rsid w:val="00867FEF"/>
    <w:rsid w:val="008705CA"/>
    <w:rsid w:val="0087063E"/>
    <w:rsid w:val="008707D6"/>
    <w:rsid w:val="00870863"/>
    <w:rsid w:val="00870B72"/>
    <w:rsid w:val="008724E0"/>
    <w:rsid w:val="0087472D"/>
    <w:rsid w:val="00875D5F"/>
    <w:rsid w:val="008760C9"/>
    <w:rsid w:val="00876261"/>
    <w:rsid w:val="008765F4"/>
    <w:rsid w:val="00881698"/>
    <w:rsid w:val="00882B8B"/>
    <w:rsid w:val="00882CBC"/>
    <w:rsid w:val="0088314C"/>
    <w:rsid w:val="00883477"/>
    <w:rsid w:val="00883683"/>
    <w:rsid w:val="008854D7"/>
    <w:rsid w:val="00886B36"/>
    <w:rsid w:val="00886E1F"/>
    <w:rsid w:val="008921FB"/>
    <w:rsid w:val="00893F72"/>
    <w:rsid w:val="00894719"/>
    <w:rsid w:val="008966AB"/>
    <w:rsid w:val="008A04C8"/>
    <w:rsid w:val="008A0CE5"/>
    <w:rsid w:val="008A171C"/>
    <w:rsid w:val="008A1AFD"/>
    <w:rsid w:val="008A1C68"/>
    <w:rsid w:val="008A20C4"/>
    <w:rsid w:val="008A24CA"/>
    <w:rsid w:val="008A5BA4"/>
    <w:rsid w:val="008A5F8F"/>
    <w:rsid w:val="008A74F4"/>
    <w:rsid w:val="008A78E5"/>
    <w:rsid w:val="008B09B4"/>
    <w:rsid w:val="008B2736"/>
    <w:rsid w:val="008B4724"/>
    <w:rsid w:val="008B6219"/>
    <w:rsid w:val="008C0A04"/>
    <w:rsid w:val="008C0B1D"/>
    <w:rsid w:val="008C23BF"/>
    <w:rsid w:val="008C4922"/>
    <w:rsid w:val="008C58F0"/>
    <w:rsid w:val="008C7959"/>
    <w:rsid w:val="008D1D1C"/>
    <w:rsid w:val="008D4D94"/>
    <w:rsid w:val="008D5148"/>
    <w:rsid w:val="008D5BD0"/>
    <w:rsid w:val="008D7F7B"/>
    <w:rsid w:val="008E019E"/>
    <w:rsid w:val="008E1D0E"/>
    <w:rsid w:val="008E1F37"/>
    <w:rsid w:val="008E2FB0"/>
    <w:rsid w:val="008E4038"/>
    <w:rsid w:val="008E62C9"/>
    <w:rsid w:val="008E7AE5"/>
    <w:rsid w:val="008F0BF2"/>
    <w:rsid w:val="008F6684"/>
    <w:rsid w:val="009010D2"/>
    <w:rsid w:val="0090241E"/>
    <w:rsid w:val="00902DCD"/>
    <w:rsid w:val="00903D20"/>
    <w:rsid w:val="00904513"/>
    <w:rsid w:val="00905DB4"/>
    <w:rsid w:val="00911555"/>
    <w:rsid w:val="00912116"/>
    <w:rsid w:val="00913691"/>
    <w:rsid w:val="00913703"/>
    <w:rsid w:val="009138B4"/>
    <w:rsid w:val="00914D46"/>
    <w:rsid w:val="00916A82"/>
    <w:rsid w:val="00917CB6"/>
    <w:rsid w:val="009210EB"/>
    <w:rsid w:val="00921AED"/>
    <w:rsid w:val="00921C64"/>
    <w:rsid w:val="00923726"/>
    <w:rsid w:val="00923AD3"/>
    <w:rsid w:val="00924E3E"/>
    <w:rsid w:val="00925607"/>
    <w:rsid w:val="009262E6"/>
    <w:rsid w:val="009275D3"/>
    <w:rsid w:val="00927AA2"/>
    <w:rsid w:val="00930385"/>
    <w:rsid w:val="00931CED"/>
    <w:rsid w:val="009336B1"/>
    <w:rsid w:val="00934BCE"/>
    <w:rsid w:val="0093751D"/>
    <w:rsid w:val="00940D36"/>
    <w:rsid w:val="009427F9"/>
    <w:rsid w:val="00945D35"/>
    <w:rsid w:val="00950DD7"/>
    <w:rsid w:val="00950E8F"/>
    <w:rsid w:val="00951353"/>
    <w:rsid w:val="00951D59"/>
    <w:rsid w:val="0095273B"/>
    <w:rsid w:val="00952791"/>
    <w:rsid w:val="00952BB6"/>
    <w:rsid w:val="00956A4D"/>
    <w:rsid w:val="0095795B"/>
    <w:rsid w:val="00957A62"/>
    <w:rsid w:val="00960A3A"/>
    <w:rsid w:val="00961FAE"/>
    <w:rsid w:val="009642E9"/>
    <w:rsid w:val="00964B5D"/>
    <w:rsid w:val="009719AC"/>
    <w:rsid w:val="00973CB2"/>
    <w:rsid w:val="009756C7"/>
    <w:rsid w:val="00975AD7"/>
    <w:rsid w:val="0097635E"/>
    <w:rsid w:val="0097639E"/>
    <w:rsid w:val="009809C5"/>
    <w:rsid w:val="00980B36"/>
    <w:rsid w:val="00981F2B"/>
    <w:rsid w:val="00984ECE"/>
    <w:rsid w:val="009857FF"/>
    <w:rsid w:val="00985FBC"/>
    <w:rsid w:val="00986C2A"/>
    <w:rsid w:val="00986EB8"/>
    <w:rsid w:val="009874B1"/>
    <w:rsid w:val="00987E1A"/>
    <w:rsid w:val="00990A0D"/>
    <w:rsid w:val="009918B6"/>
    <w:rsid w:val="0099224E"/>
    <w:rsid w:val="00995FBF"/>
    <w:rsid w:val="00996A84"/>
    <w:rsid w:val="00996DA4"/>
    <w:rsid w:val="00997724"/>
    <w:rsid w:val="009A0163"/>
    <w:rsid w:val="009A054D"/>
    <w:rsid w:val="009A07B5"/>
    <w:rsid w:val="009A1334"/>
    <w:rsid w:val="009A1524"/>
    <w:rsid w:val="009A181F"/>
    <w:rsid w:val="009A1F98"/>
    <w:rsid w:val="009A32D7"/>
    <w:rsid w:val="009A3CC9"/>
    <w:rsid w:val="009A447B"/>
    <w:rsid w:val="009A46EA"/>
    <w:rsid w:val="009A5B1E"/>
    <w:rsid w:val="009A65C5"/>
    <w:rsid w:val="009A7F23"/>
    <w:rsid w:val="009B158C"/>
    <w:rsid w:val="009B2181"/>
    <w:rsid w:val="009B410D"/>
    <w:rsid w:val="009B58DB"/>
    <w:rsid w:val="009B5E77"/>
    <w:rsid w:val="009B68E8"/>
    <w:rsid w:val="009C1086"/>
    <w:rsid w:val="009C2333"/>
    <w:rsid w:val="009C2E10"/>
    <w:rsid w:val="009C30E0"/>
    <w:rsid w:val="009C39C9"/>
    <w:rsid w:val="009C5D19"/>
    <w:rsid w:val="009C6446"/>
    <w:rsid w:val="009C6560"/>
    <w:rsid w:val="009C6A2A"/>
    <w:rsid w:val="009C6E33"/>
    <w:rsid w:val="009D09ED"/>
    <w:rsid w:val="009D1308"/>
    <w:rsid w:val="009D2BB9"/>
    <w:rsid w:val="009D2E33"/>
    <w:rsid w:val="009D3DE0"/>
    <w:rsid w:val="009D60D1"/>
    <w:rsid w:val="009D625D"/>
    <w:rsid w:val="009D79F4"/>
    <w:rsid w:val="009D7AA8"/>
    <w:rsid w:val="009E388F"/>
    <w:rsid w:val="009E45B1"/>
    <w:rsid w:val="009E50E8"/>
    <w:rsid w:val="009E5C97"/>
    <w:rsid w:val="009E658E"/>
    <w:rsid w:val="009F05F8"/>
    <w:rsid w:val="009F091F"/>
    <w:rsid w:val="009F156A"/>
    <w:rsid w:val="009F206E"/>
    <w:rsid w:val="009F3ADD"/>
    <w:rsid w:val="009F4095"/>
    <w:rsid w:val="009F4D07"/>
    <w:rsid w:val="009F6474"/>
    <w:rsid w:val="009F7064"/>
    <w:rsid w:val="009F771B"/>
    <w:rsid w:val="00A0032C"/>
    <w:rsid w:val="00A0071F"/>
    <w:rsid w:val="00A00E03"/>
    <w:rsid w:val="00A02812"/>
    <w:rsid w:val="00A02D21"/>
    <w:rsid w:val="00A0512B"/>
    <w:rsid w:val="00A0674F"/>
    <w:rsid w:val="00A070DD"/>
    <w:rsid w:val="00A0729C"/>
    <w:rsid w:val="00A07433"/>
    <w:rsid w:val="00A10742"/>
    <w:rsid w:val="00A10ADD"/>
    <w:rsid w:val="00A10C1D"/>
    <w:rsid w:val="00A11517"/>
    <w:rsid w:val="00A1171C"/>
    <w:rsid w:val="00A13D2D"/>
    <w:rsid w:val="00A14D47"/>
    <w:rsid w:val="00A1720D"/>
    <w:rsid w:val="00A17F78"/>
    <w:rsid w:val="00A20FC4"/>
    <w:rsid w:val="00A215F3"/>
    <w:rsid w:val="00A2203F"/>
    <w:rsid w:val="00A22713"/>
    <w:rsid w:val="00A22A1A"/>
    <w:rsid w:val="00A23A5C"/>
    <w:rsid w:val="00A24764"/>
    <w:rsid w:val="00A26E39"/>
    <w:rsid w:val="00A27EBB"/>
    <w:rsid w:val="00A32252"/>
    <w:rsid w:val="00A339B9"/>
    <w:rsid w:val="00A344DE"/>
    <w:rsid w:val="00A353AA"/>
    <w:rsid w:val="00A37257"/>
    <w:rsid w:val="00A377C7"/>
    <w:rsid w:val="00A378E0"/>
    <w:rsid w:val="00A37D64"/>
    <w:rsid w:val="00A37FF7"/>
    <w:rsid w:val="00A40335"/>
    <w:rsid w:val="00A53EFD"/>
    <w:rsid w:val="00A54308"/>
    <w:rsid w:val="00A5431D"/>
    <w:rsid w:val="00A55547"/>
    <w:rsid w:val="00A55AF9"/>
    <w:rsid w:val="00A567CD"/>
    <w:rsid w:val="00A56A86"/>
    <w:rsid w:val="00A61787"/>
    <w:rsid w:val="00A63225"/>
    <w:rsid w:val="00A6402E"/>
    <w:rsid w:val="00A640FD"/>
    <w:rsid w:val="00A65452"/>
    <w:rsid w:val="00A6640E"/>
    <w:rsid w:val="00A709FD"/>
    <w:rsid w:val="00A73300"/>
    <w:rsid w:val="00A75576"/>
    <w:rsid w:val="00A75873"/>
    <w:rsid w:val="00A76AA8"/>
    <w:rsid w:val="00A76E6E"/>
    <w:rsid w:val="00A80991"/>
    <w:rsid w:val="00A828C4"/>
    <w:rsid w:val="00A82EF0"/>
    <w:rsid w:val="00A848AE"/>
    <w:rsid w:val="00A85DBB"/>
    <w:rsid w:val="00A85EBB"/>
    <w:rsid w:val="00A861B1"/>
    <w:rsid w:val="00A877EE"/>
    <w:rsid w:val="00A90D38"/>
    <w:rsid w:val="00A91360"/>
    <w:rsid w:val="00A9156C"/>
    <w:rsid w:val="00A9196D"/>
    <w:rsid w:val="00AA143E"/>
    <w:rsid w:val="00AA15D6"/>
    <w:rsid w:val="00AA1823"/>
    <w:rsid w:val="00AA195C"/>
    <w:rsid w:val="00AA1BB1"/>
    <w:rsid w:val="00AA1CDA"/>
    <w:rsid w:val="00AA421D"/>
    <w:rsid w:val="00AA59FA"/>
    <w:rsid w:val="00AA6407"/>
    <w:rsid w:val="00AA68EB"/>
    <w:rsid w:val="00AA7344"/>
    <w:rsid w:val="00AA7B19"/>
    <w:rsid w:val="00AA7D6B"/>
    <w:rsid w:val="00AB1846"/>
    <w:rsid w:val="00AB3E4A"/>
    <w:rsid w:val="00AB4292"/>
    <w:rsid w:val="00AB6A03"/>
    <w:rsid w:val="00AB7266"/>
    <w:rsid w:val="00AB755C"/>
    <w:rsid w:val="00AB798E"/>
    <w:rsid w:val="00AC005A"/>
    <w:rsid w:val="00AC014C"/>
    <w:rsid w:val="00AC04D2"/>
    <w:rsid w:val="00AC07CD"/>
    <w:rsid w:val="00AC2914"/>
    <w:rsid w:val="00AC3F86"/>
    <w:rsid w:val="00AC5F76"/>
    <w:rsid w:val="00AC67D1"/>
    <w:rsid w:val="00AC6C2B"/>
    <w:rsid w:val="00AC7F31"/>
    <w:rsid w:val="00AD0519"/>
    <w:rsid w:val="00AD05C1"/>
    <w:rsid w:val="00AD0805"/>
    <w:rsid w:val="00AD29D5"/>
    <w:rsid w:val="00AD4A34"/>
    <w:rsid w:val="00AD4AA2"/>
    <w:rsid w:val="00AD7386"/>
    <w:rsid w:val="00AD7B61"/>
    <w:rsid w:val="00AD7EC9"/>
    <w:rsid w:val="00AE00A8"/>
    <w:rsid w:val="00AE14AB"/>
    <w:rsid w:val="00AE2582"/>
    <w:rsid w:val="00AE2ECF"/>
    <w:rsid w:val="00AE3E41"/>
    <w:rsid w:val="00AE6C86"/>
    <w:rsid w:val="00AF207A"/>
    <w:rsid w:val="00AF22F4"/>
    <w:rsid w:val="00AF3651"/>
    <w:rsid w:val="00AF5012"/>
    <w:rsid w:val="00AF51FE"/>
    <w:rsid w:val="00AF563C"/>
    <w:rsid w:val="00AF5684"/>
    <w:rsid w:val="00AF73A2"/>
    <w:rsid w:val="00AF7637"/>
    <w:rsid w:val="00B002DB"/>
    <w:rsid w:val="00B0094A"/>
    <w:rsid w:val="00B02125"/>
    <w:rsid w:val="00B03C62"/>
    <w:rsid w:val="00B058FE"/>
    <w:rsid w:val="00B05CD7"/>
    <w:rsid w:val="00B05DE2"/>
    <w:rsid w:val="00B07727"/>
    <w:rsid w:val="00B07D2D"/>
    <w:rsid w:val="00B10180"/>
    <w:rsid w:val="00B11084"/>
    <w:rsid w:val="00B129F8"/>
    <w:rsid w:val="00B1318F"/>
    <w:rsid w:val="00B15106"/>
    <w:rsid w:val="00B15E73"/>
    <w:rsid w:val="00B1662A"/>
    <w:rsid w:val="00B20A37"/>
    <w:rsid w:val="00B211BF"/>
    <w:rsid w:val="00B22085"/>
    <w:rsid w:val="00B22092"/>
    <w:rsid w:val="00B2213D"/>
    <w:rsid w:val="00B225A5"/>
    <w:rsid w:val="00B23B0C"/>
    <w:rsid w:val="00B2423C"/>
    <w:rsid w:val="00B25C16"/>
    <w:rsid w:val="00B266DA"/>
    <w:rsid w:val="00B26B98"/>
    <w:rsid w:val="00B27374"/>
    <w:rsid w:val="00B30E7E"/>
    <w:rsid w:val="00B31CC3"/>
    <w:rsid w:val="00B32631"/>
    <w:rsid w:val="00B32CD1"/>
    <w:rsid w:val="00B34B31"/>
    <w:rsid w:val="00B36060"/>
    <w:rsid w:val="00B36293"/>
    <w:rsid w:val="00B36650"/>
    <w:rsid w:val="00B41484"/>
    <w:rsid w:val="00B41E80"/>
    <w:rsid w:val="00B428EB"/>
    <w:rsid w:val="00B4302A"/>
    <w:rsid w:val="00B433CA"/>
    <w:rsid w:val="00B44F46"/>
    <w:rsid w:val="00B47DCC"/>
    <w:rsid w:val="00B51013"/>
    <w:rsid w:val="00B52643"/>
    <w:rsid w:val="00B5295F"/>
    <w:rsid w:val="00B53206"/>
    <w:rsid w:val="00B543F1"/>
    <w:rsid w:val="00B5496B"/>
    <w:rsid w:val="00B54ECA"/>
    <w:rsid w:val="00B563CE"/>
    <w:rsid w:val="00B57A69"/>
    <w:rsid w:val="00B6188D"/>
    <w:rsid w:val="00B62333"/>
    <w:rsid w:val="00B6270E"/>
    <w:rsid w:val="00B631E5"/>
    <w:rsid w:val="00B63A18"/>
    <w:rsid w:val="00B63C96"/>
    <w:rsid w:val="00B64EC2"/>
    <w:rsid w:val="00B65EF8"/>
    <w:rsid w:val="00B65FB7"/>
    <w:rsid w:val="00B66494"/>
    <w:rsid w:val="00B6659B"/>
    <w:rsid w:val="00B66B6A"/>
    <w:rsid w:val="00B67956"/>
    <w:rsid w:val="00B67995"/>
    <w:rsid w:val="00B67FF6"/>
    <w:rsid w:val="00B70532"/>
    <w:rsid w:val="00B7058D"/>
    <w:rsid w:val="00B70946"/>
    <w:rsid w:val="00B7114E"/>
    <w:rsid w:val="00B72B2C"/>
    <w:rsid w:val="00B7455E"/>
    <w:rsid w:val="00B74D52"/>
    <w:rsid w:val="00B75426"/>
    <w:rsid w:val="00B76F04"/>
    <w:rsid w:val="00B778F3"/>
    <w:rsid w:val="00B77B5B"/>
    <w:rsid w:val="00B81E5C"/>
    <w:rsid w:val="00B856CC"/>
    <w:rsid w:val="00B86400"/>
    <w:rsid w:val="00B8658F"/>
    <w:rsid w:val="00B86A6C"/>
    <w:rsid w:val="00B907D7"/>
    <w:rsid w:val="00B90B1E"/>
    <w:rsid w:val="00B93EE2"/>
    <w:rsid w:val="00B953D8"/>
    <w:rsid w:val="00B9593C"/>
    <w:rsid w:val="00B966A6"/>
    <w:rsid w:val="00BA174C"/>
    <w:rsid w:val="00BA1CAF"/>
    <w:rsid w:val="00BA20F2"/>
    <w:rsid w:val="00BA2235"/>
    <w:rsid w:val="00BA2E34"/>
    <w:rsid w:val="00BA39A4"/>
    <w:rsid w:val="00BA513B"/>
    <w:rsid w:val="00BA5BEE"/>
    <w:rsid w:val="00BA5E1D"/>
    <w:rsid w:val="00BB03BC"/>
    <w:rsid w:val="00BB212B"/>
    <w:rsid w:val="00BB38F4"/>
    <w:rsid w:val="00BB63C6"/>
    <w:rsid w:val="00BB6DE8"/>
    <w:rsid w:val="00BB71CF"/>
    <w:rsid w:val="00BB7393"/>
    <w:rsid w:val="00BB7D94"/>
    <w:rsid w:val="00BC0535"/>
    <w:rsid w:val="00BC432E"/>
    <w:rsid w:val="00BC589F"/>
    <w:rsid w:val="00BC5ABB"/>
    <w:rsid w:val="00BC5BA6"/>
    <w:rsid w:val="00BC5C1C"/>
    <w:rsid w:val="00BC6C33"/>
    <w:rsid w:val="00BC765E"/>
    <w:rsid w:val="00BD0382"/>
    <w:rsid w:val="00BD21BB"/>
    <w:rsid w:val="00BD5A87"/>
    <w:rsid w:val="00BD5AEF"/>
    <w:rsid w:val="00BD6561"/>
    <w:rsid w:val="00BD7B2B"/>
    <w:rsid w:val="00BD7DC6"/>
    <w:rsid w:val="00BE2077"/>
    <w:rsid w:val="00BE33C1"/>
    <w:rsid w:val="00BE3530"/>
    <w:rsid w:val="00BE5788"/>
    <w:rsid w:val="00BE586B"/>
    <w:rsid w:val="00BE5CC3"/>
    <w:rsid w:val="00BE5FA8"/>
    <w:rsid w:val="00BE6E57"/>
    <w:rsid w:val="00BE6EB7"/>
    <w:rsid w:val="00BE765B"/>
    <w:rsid w:val="00BF082A"/>
    <w:rsid w:val="00BF1560"/>
    <w:rsid w:val="00BF1588"/>
    <w:rsid w:val="00BF2AF5"/>
    <w:rsid w:val="00BF402C"/>
    <w:rsid w:val="00BF5B95"/>
    <w:rsid w:val="00BF5F56"/>
    <w:rsid w:val="00BF6062"/>
    <w:rsid w:val="00BF7767"/>
    <w:rsid w:val="00C028B7"/>
    <w:rsid w:val="00C033BF"/>
    <w:rsid w:val="00C04F91"/>
    <w:rsid w:val="00C05021"/>
    <w:rsid w:val="00C05BE4"/>
    <w:rsid w:val="00C06F7E"/>
    <w:rsid w:val="00C071B2"/>
    <w:rsid w:val="00C074F1"/>
    <w:rsid w:val="00C1235D"/>
    <w:rsid w:val="00C12A8B"/>
    <w:rsid w:val="00C14CC0"/>
    <w:rsid w:val="00C165CF"/>
    <w:rsid w:val="00C1679C"/>
    <w:rsid w:val="00C17ADA"/>
    <w:rsid w:val="00C20BEA"/>
    <w:rsid w:val="00C21305"/>
    <w:rsid w:val="00C22582"/>
    <w:rsid w:val="00C228B7"/>
    <w:rsid w:val="00C22A3F"/>
    <w:rsid w:val="00C26593"/>
    <w:rsid w:val="00C2693A"/>
    <w:rsid w:val="00C26B11"/>
    <w:rsid w:val="00C26CC6"/>
    <w:rsid w:val="00C27440"/>
    <w:rsid w:val="00C32402"/>
    <w:rsid w:val="00C32A23"/>
    <w:rsid w:val="00C3419F"/>
    <w:rsid w:val="00C343FF"/>
    <w:rsid w:val="00C34B2E"/>
    <w:rsid w:val="00C362F4"/>
    <w:rsid w:val="00C36677"/>
    <w:rsid w:val="00C3705E"/>
    <w:rsid w:val="00C40292"/>
    <w:rsid w:val="00C4098F"/>
    <w:rsid w:val="00C4135A"/>
    <w:rsid w:val="00C448D9"/>
    <w:rsid w:val="00C44D33"/>
    <w:rsid w:val="00C46DC6"/>
    <w:rsid w:val="00C51D15"/>
    <w:rsid w:val="00C522FE"/>
    <w:rsid w:val="00C52BDB"/>
    <w:rsid w:val="00C52DA2"/>
    <w:rsid w:val="00C54E1C"/>
    <w:rsid w:val="00C55C52"/>
    <w:rsid w:val="00C563B3"/>
    <w:rsid w:val="00C567E6"/>
    <w:rsid w:val="00C57D95"/>
    <w:rsid w:val="00C60351"/>
    <w:rsid w:val="00C60E41"/>
    <w:rsid w:val="00C615C9"/>
    <w:rsid w:val="00C62444"/>
    <w:rsid w:val="00C64B91"/>
    <w:rsid w:val="00C657D6"/>
    <w:rsid w:val="00C66532"/>
    <w:rsid w:val="00C70C12"/>
    <w:rsid w:val="00C71A96"/>
    <w:rsid w:val="00C73619"/>
    <w:rsid w:val="00C742C5"/>
    <w:rsid w:val="00C744B0"/>
    <w:rsid w:val="00C74BFB"/>
    <w:rsid w:val="00C74D7E"/>
    <w:rsid w:val="00C76298"/>
    <w:rsid w:val="00C7656B"/>
    <w:rsid w:val="00C804D1"/>
    <w:rsid w:val="00C80697"/>
    <w:rsid w:val="00C80AA3"/>
    <w:rsid w:val="00C80E00"/>
    <w:rsid w:val="00C8279A"/>
    <w:rsid w:val="00C82F3D"/>
    <w:rsid w:val="00C84AD3"/>
    <w:rsid w:val="00C85146"/>
    <w:rsid w:val="00C8561A"/>
    <w:rsid w:val="00C85E00"/>
    <w:rsid w:val="00C86F1C"/>
    <w:rsid w:val="00C90050"/>
    <w:rsid w:val="00C9187A"/>
    <w:rsid w:val="00C92D2C"/>
    <w:rsid w:val="00C93017"/>
    <w:rsid w:val="00C93820"/>
    <w:rsid w:val="00C941F9"/>
    <w:rsid w:val="00C9432A"/>
    <w:rsid w:val="00C94F48"/>
    <w:rsid w:val="00C959F0"/>
    <w:rsid w:val="00C96F20"/>
    <w:rsid w:val="00C9777E"/>
    <w:rsid w:val="00C979F0"/>
    <w:rsid w:val="00CA034B"/>
    <w:rsid w:val="00CA0F3A"/>
    <w:rsid w:val="00CA2638"/>
    <w:rsid w:val="00CA5BF8"/>
    <w:rsid w:val="00CA69A3"/>
    <w:rsid w:val="00CB0CDE"/>
    <w:rsid w:val="00CB2184"/>
    <w:rsid w:val="00CB3219"/>
    <w:rsid w:val="00CB36D8"/>
    <w:rsid w:val="00CB3A0B"/>
    <w:rsid w:val="00CB3F5F"/>
    <w:rsid w:val="00CB3FFA"/>
    <w:rsid w:val="00CB6067"/>
    <w:rsid w:val="00CB75E5"/>
    <w:rsid w:val="00CC1BA9"/>
    <w:rsid w:val="00CC300B"/>
    <w:rsid w:val="00CC4F17"/>
    <w:rsid w:val="00CC7211"/>
    <w:rsid w:val="00CC771B"/>
    <w:rsid w:val="00CC7FA2"/>
    <w:rsid w:val="00CD0F6A"/>
    <w:rsid w:val="00CD1188"/>
    <w:rsid w:val="00CD1548"/>
    <w:rsid w:val="00CD2135"/>
    <w:rsid w:val="00CD2942"/>
    <w:rsid w:val="00CD2DD7"/>
    <w:rsid w:val="00CD308A"/>
    <w:rsid w:val="00CD3AE3"/>
    <w:rsid w:val="00CD4218"/>
    <w:rsid w:val="00CD4927"/>
    <w:rsid w:val="00CD4E9C"/>
    <w:rsid w:val="00CD530D"/>
    <w:rsid w:val="00CD6C78"/>
    <w:rsid w:val="00CD7973"/>
    <w:rsid w:val="00CE0A32"/>
    <w:rsid w:val="00CE1811"/>
    <w:rsid w:val="00CE1C4B"/>
    <w:rsid w:val="00CE2489"/>
    <w:rsid w:val="00CE2ACB"/>
    <w:rsid w:val="00CE32EA"/>
    <w:rsid w:val="00CE3647"/>
    <w:rsid w:val="00CE3866"/>
    <w:rsid w:val="00CE4C3C"/>
    <w:rsid w:val="00CE4C55"/>
    <w:rsid w:val="00CE65A4"/>
    <w:rsid w:val="00CE6CBF"/>
    <w:rsid w:val="00CE7EFD"/>
    <w:rsid w:val="00CF3069"/>
    <w:rsid w:val="00CF4A2A"/>
    <w:rsid w:val="00CF4E11"/>
    <w:rsid w:val="00CF4EEC"/>
    <w:rsid w:val="00CF5A9B"/>
    <w:rsid w:val="00CF5C8E"/>
    <w:rsid w:val="00CF72FB"/>
    <w:rsid w:val="00CF7C7C"/>
    <w:rsid w:val="00D01ADA"/>
    <w:rsid w:val="00D0278C"/>
    <w:rsid w:val="00D02BFC"/>
    <w:rsid w:val="00D03E44"/>
    <w:rsid w:val="00D03FCD"/>
    <w:rsid w:val="00D05482"/>
    <w:rsid w:val="00D058CA"/>
    <w:rsid w:val="00D06A37"/>
    <w:rsid w:val="00D06E56"/>
    <w:rsid w:val="00D10876"/>
    <w:rsid w:val="00D10C3D"/>
    <w:rsid w:val="00D10E15"/>
    <w:rsid w:val="00D1106A"/>
    <w:rsid w:val="00D11274"/>
    <w:rsid w:val="00D13621"/>
    <w:rsid w:val="00D13C03"/>
    <w:rsid w:val="00D14D5E"/>
    <w:rsid w:val="00D15C51"/>
    <w:rsid w:val="00D16CA0"/>
    <w:rsid w:val="00D16F2F"/>
    <w:rsid w:val="00D1781D"/>
    <w:rsid w:val="00D21E2E"/>
    <w:rsid w:val="00D2378A"/>
    <w:rsid w:val="00D243D6"/>
    <w:rsid w:val="00D24599"/>
    <w:rsid w:val="00D25BB5"/>
    <w:rsid w:val="00D27FB4"/>
    <w:rsid w:val="00D30738"/>
    <w:rsid w:val="00D318C9"/>
    <w:rsid w:val="00D328FF"/>
    <w:rsid w:val="00D32CEF"/>
    <w:rsid w:val="00D32F91"/>
    <w:rsid w:val="00D33775"/>
    <w:rsid w:val="00D33E7C"/>
    <w:rsid w:val="00D342CD"/>
    <w:rsid w:val="00D36507"/>
    <w:rsid w:val="00D36583"/>
    <w:rsid w:val="00D37BD0"/>
    <w:rsid w:val="00D40B67"/>
    <w:rsid w:val="00D40DDE"/>
    <w:rsid w:val="00D41871"/>
    <w:rsid w:val="00D418DA"/>
    <w:rsid w:val="00D42903"/>
    <w:rsid w:val="00D43989"/>
    <w:rsid w:val="00D4401A"/>
    <w:rsid w:val="00D451A1"/>
    <w:rsid w:val="00D464AB"/>
    <w:rsid w:val="00D46C5E"/>
    <w:rsid w:val="00D46E0B"/>
    <w:rsid w:val="00D47D98"/>
    <w:rsid w:val="00D50C58"/>
    <w:rsid w:val="00D50EB5"/>
    <w:rsid w:val="00D51147"/>
    <w:rsid w:val="00D56EE8"/>
    <w:rsid w:val="00D61DF2"/>
    <w:rsid w:val="00D6206B"/>
    <w:rsid w:val="00D63D3B"/>
    <w:rsid w:val="00D64DFF"/>
    <w:rsid w:val="00D65044"/>
    <w:rsid w:val="00D6631A"/>
    <w:rsid w:val="00D676AF"/>
    <w:rsid w:val="00D67735"/>
    <w:rsid w:val="00D6775C"/>
    <w:rsid w:val="00D7270E"/>
    <w:rsid w:val="00D73CB5"/>
    <w:rsid w:val="00D75C66"/>
    <w:rsid w:val="00D75D00"/>
    <w:rsid w:val="00D76731"/>
    <w:rsid w:val="00D7676B"/>
    <w:rsid w:val="00D77154"/>
    <w:rsid w:val="00D776B1"/>
    <w:rsid w:val="00D809D5"/>
    <w:rsid w:val="00D80C1D"/>
    <w:rsid w:val="00D80F29"/>
    <w:rsid w:val="00D81192"/>
    <w:rsid w:val="00D81B0B"/>
    <w:rsid w:val="00D853E1"/>
    <w:rsid w:val="00D86E7F"/>
    <w:rsid w:val="00D87D30"/>
    <w:rsid w:val="00D90277"/>
    <w:rsid w:val="00D9144C"/>
    <w:rsid w:val="00D914A9"/>
    <w:rsid w:val="00D91A45"/>
    <w:rsid w:val="00D91BEA"/>
    <w:rsid w:val="00D9294D"/>
    <w:rsid w:val="00D93A48"/>
    <w:rsid w:val="00D942B7"/>
    <w:rsid w:val="00D948A4"/>
    <w:rsid w:val="00D94BA8"/>
    <w:rsid w:val="00D94C74"/>
    <w:rsid w:val="00D94EF9"/>
    <w:rsid w:val="00D958BA"/>
    <w:rsid w:val="00D95A7A"/>
    <w:rsid w:val="00D95D38"/>
    <w:rsid w:val="00D960D8"/>
    <w:rsid w:val="00D96BC8"/>
    <w:rsid w:val="00D97126"/>
    <w:rsid w:val="00D97302"/>
    <w:rsid w:val="00DA2186"/>
    <w:rsid w:val="00DA29E1"/>
    <w:rsid w:val="00DA2AC4"/>
    <w:rsid w:val="00DA3FE0"/>
    <w:rsid w:val="00DA403A"/>
    <w:rsid w:val="00DA47C4"/>
    <w:rsid w:val="00DA51F5"/>
    <w:rsid w:val="00DA660D"/>
    <w:rsid w:val="00DA6623"/>
    <w:rsid w:val="00DA677C"/>
    <w:rsid w:val="00DA7BE8"/>
    <w:rsid w:val="00DA7D75"/>
    <w:rsid w:val="00DB071C"/>
    <w:rsid w:val="00DB1AB3"/>
    <w:rsid w:val="00DB2825"/>
    <w:rsid w:val="00DB381B"/>
    <w:rsid w:val="00DB48F3"/>
    <w:rsid w:val="00DB50B4"/>
    <w:rsid w:val="00DC009E"/>
    <w:rsid w:val="00DC042A"/>
    <w:rsid w:val="00DC0816"/>
    <w:rsid w:val="00DC08DC"/>
    <w:rsid w:val="00DC13B2"/>
    <w:rsid w:val="00DC1691"/>
    <w:rsid w:val="00DC2D86"/>
    <w:rsid w:val="00DC4013"/>
    <w:rsid w:val="00DC465F"/>
    <w:rsid w:val="00DC4E6D"/>
    <w:rsid w:val="00DC5967"/>
    <w:rsid w:val="00DC7932"/>
    <w:rsid w:val="00DD0312"/>
    <w:rsid w:val="00DD0708"/>
    <w:rsid w:val="00DD1899"/>
    <w:rsid w:val="00DD1A31"/>
    <w:rsid w:val="00DD1EFF"/>
    <w:rsid w:val="00DD2934"/>
    <w:rsid w:val="00DD3225"/>
    <w:rsid w:val="00DD4095"/>
    <w:rsid w:val="00DD4FDF"/>
    <w:rsid w:val="00DD5F65"/>
    <w:rsid w:val="00DE1888"/>
    <w:rsid w:val="00DE2157"/>
    <w:rsid w:val="00DE22C2"/>
    <w:rsid w:val="00DE2589"/>
    <w:rsid w:val="00DE3C10"/>
    <w:rsid w:val="00DE49C2"/>
    <w:rsid w:val="00DE7223"/>
    <w:rsid w:val="00DE7226"/>
    <w:rsid w:val="00DF1F12"/>
    <w:rsid w:val="00DF1F1C"/>
    <w:rsid w:val="00DF23D5"/>
    <w:rsid w:val="00DF2EA1"/>
    <w:rsid w:val="00DF34AE"/>
    <w:rsid w:val="00DF3FD1"/>
    <w:rsid w:val="00DF4A1D"/>
    <w:rsid w:val="00DF4E97"/>
    <w:rsid w:val="00DF6674"/>
    <w:rsid w:val="00E0012E"/>
    <w:rsid w:val="00E01A8A"/>
    <w:rsid w:val="00E030DF"/>
    <w:rsid w:val="00E03BCD"/>
    <w:rsid w:val="00E054EF"/>
    <w:rsid w:val="00E06704"/>
    <w:rsid w:val="00E06BB2"/>
    <w:rsid w:val="00E07397"/>
    <w:rsid w:val="00E07F28"/>
    <w:rsid w:val="00E11738"/>
    <w:rsid w:val="00E1205B"/>
    <w:rsid w:val="00E127EA"/>
    <w:rsid w:val="00E1281B"/>
    <w:rsid w:val="00E12E0B"/>
    <w:rsid w:val="00E138FB"/>
    <w:rsid w:val="00E1395C"/>
    <w:rsid w:val="00E160AD"/>
    <w:rsid w:val="00E16E86"/>
    <w:rsid w:val="00E17A38"/>
    <w:rsid w:val="00E2069A"/>
    <w:rsid w:val="00E21315"/>
    <w:rsid w:val="00E229B3"/>
    <w:rsid w:val="00E23C38"/>
    <w:rsid w:val="00E24A18"/>
    <w:rsid w:val="00E24C6C"/>
    <w:rsid w:val="00E25017"/>
    <w:rsid w:val="00E26726"/>
    <w:rsid w:val="00E279E7"/>
    <w:rsid w:val="00E36997"/>
    <w:rsid w:val="00E3707B"/>
    <w:rsid w:val="00E37099"/>
    <w:rsid w:val="00E370EE"/>
    <w:rsid w:val="00E373D2"/>
    <w:rsid w:val="00E37892"/>
    <w:rsid w:val="00E37AC5"/>
    <w:rsid w:val="00E400FE"/>
    <w:rsid w:val="00E41DF8"/>
    <w:rsid w:val="00E42FCD"/>
    <w:rsid w:val="00E432E6"/>
    <w:rsid w:val="00E4352F"/>
    <w:rsid w:val="00E439B3"/>
    <w:rsid w:val="00E445F6"/>
    <w:rsid w:val="00E44FEC"/>
    <w:rsid w:val="00E4579A"/>
    <w:rsid w:val="00E45A6C"/>
    <w:rsid w:val="00E46484"/>
    <w:rsid w:val="00E4675A"/>
    <w:rsid w:val="00E46F0B"/>
    <w:rsid w:val="00E5055E"/>
    <w:rsid w:val="00E5188C"/>
    <w:rsid w:val="00E52B87"/>
    <w:rsid w:val="00E531DC"/>
    <w:rsid w:val="00E536CF"/>
    <w:rsid w:val="00E54098"/>
    <w:rsid w:val="00E54B2A"/>
    <w:rsid w:val="00E55288"/>
    <w:rsid w:val="00E60EB1"/>
    <w:rsid w:val="00E621FD"/>
    <w:rsid w:val="00E62692"/>
    <w:rsid w:val="00E62D8F"/>
    <w:rsid w:val="00E635A6"/>
    <w:rsid w:val="00E645ED"/>
    <w:rsid w:val="00E6519B"/>
    <w:rsid w:val="00E651BD"/>
    <w:rsid w:val="00E666B9"/>
    <w:rsid w:val="00E714A1"/>
    <w:rsid w:val="00E72F0B"/>
    <w:rsid w:val="00E72FFE"/>
    <w:rsid w:val="00E73AC2"/>
    <w:rsid w:val="00E7546D"/>
    <w:rsid w:val="00E75CE1"/>
    <w:rsid w:val="00E76FD8"/>
    <w:rsid w:val="00E7730A"/>
    <w:rsid w:val="00E8012D"/>
    <w:rsid w:val="00E8089D"/>
    <w:rsid w:val="00E82095"/>
    <w:rsid w:val="00E82EF2"/>
    <w:rsid w:val="00E83C7E"/>
    <w:rsid w:val="00E84A0E"/>
    <w:rsid w:val="00E85B89"/>
    <w:rsid w:val="00E85DD1"/>
    <w:rsid w:val="00E8605D"/>
    <w:rsid w:val="00E9198C"/>
    <w:rsid w:val="00E95A55"/>
    <w:rsid w:val="00E95B87"/>
    <w:rsid w:val="00E9642C"/>
    <w:rsid w:val="00EA02D6"/>
    <w:rsid w:val="00EA086E"/>
    <w:rsid w:val="00EA1D8D"/>
    <w:rsid w:val="00EA4881"/>
    <w:rsid w:val="00EA6F57"/>
    <w:rsid w:val="00EA73C5"/>
    <w:rsid w:val="00EA7E4E"/>
    <w:rsid w:val="00EB23CB"/>
    <w:rsid w:val="00EB258B"/>
    <w:rsid w:val="00EB2971"/>
    <w:rsid w:val="00EB2DC5"/>
    <w:rsid w:val="00EB3D0D"/>
    <w:rsid w:val="00EB3E11"/>
    <w:rsid w:val="00EB44B5"/>
    <w:rsid w:val="00EB4CF5"/>
    <w:rsid w:val="00EB5570"/>
    <w:rsid w:val="00EB6DEB"/>
    <w:rsid w:val="00EC046C"/>
    <w:rsid w:val="00EC04EC"/>
    <w:rsid w:val="00EC0ADB"/>
    <w:rsid w:val="00EC1AE2"/>
    <w:rsid w:val="00EC24AF"/>
    <w:rsid w:val="00EC2687"/>
    <w:rsid w:val="00EC2B4E"/>
    <w:rsid w:val="00EC2F2E"/>
    <w:rsid w:val="00EC330E"/>
    <w:rsid w:val="00EC5A0D"/>
    <w:rsid w:val="00EC67A2"/>
    <w:rsid w:val="00EC6A15"/>
    <w:rsid w:val="00EC7638"/>
    <w:rsid w:val="00ED0A9C"/>
    <w:rsid w:val="00ED11C9"/>
    <w:rsid w:val="00ED125C"/>
    <w:rsid w:val="00ED3450"/>
    <w:rsid w:val="00ED3554"/>
    <w:rsid w:val="00ED4E0D"/>
    <w:rsid w:val="00ED5D7F"/>
    <w:rsid w:val="00ED6251"/>
    <w:rsid w:val="00ED66AA"/>
    <w:rsid w:val="00ED77D4"/>
    <w:rsid w:val="00ED7D4B"/>
    <w:rsid w:val="00EE0B64"/>
    <w:rsid w:val="00EE242A"/>
    <w:rsid w:val="00EE2AD4"/>
    <w:rsid w:val="00EE679B"/>
    <w:rsid w:val="00EE6B04"/>
    <w:rsid w:val="00EF00D0"/>
    <w:rsid w:val="00EF0380"/>
    <w:rsid w:val="00EF34DB"/>
    <w:rsid w:val="00EF36FA"/>
    <w:rsid w:val="00EF3832"/>
    <w:rsid w:val="00EF723B"/>
    <w:rsid w:val="00F01F4B"/>
    <w:rsid w:val="00F028FD"/>
    <w:rsid w:val="00F04F86"/>
    <w:rsid w:val="00F05501"/>
    <w:rsid w:val="00F05BCB"/>
    <w:rsid w:val="00F06E05"/>
    <w:rsid w:val="00F06E6D"/>
    <w:rsid w:val="00F073A5"/>
    <w:rsid w:val="00F07DAB"/>
    <w:rsid w:val="00F07E55"/>
    <w:rsid w:val="00F116A4"/>
    <w:rsid w:val="00F1291B"/>
    <w:rsid w:val="00F13948"/>
    <w:rsid w:val="00F13E15"/>
    <w:rsid w:val="00F13E8C"/>
    <w:rsid w:val="00F16092"/>
    <w:rsid w:val="00F17604"/>
    <w:rsid w:val="00F17B6B"/>
    <w:rsid w:val="00F201CA"/>
    <w:rsid w:val="00F206D0"/>
    <w:rsid w:val="00F22184"/>
    <w:rsid w:val="00F22497"/>
    <w:rsid w:val="00F23E05"/>
    <w:rsid w:val="00F2400D"/>
    <w:rsid w:val="00F30A3F"/>
    <w:rsid w:val="00F31266"/>
    <w:rsid w:val="00F315FF"/>
    <w:rsid w:val="00F32C7A"/>
    <w:rsid w:val="00F33604"/>
    <w:rsid w:val="00F36AE6"/>
    <w:rsid w:val="00F40C71"/>
    <w:rsid w:val="00F40F53"/>
    <w:rsid w:val="00F41669"/>
    <w:rsid w:val="00F427FF"/>
    <w:rsid w:val="00F45666"/>
    <w:rsid w:val="00F45BE7"/>
    <w:rsid w:val="00F45F43"/>
    <w:rsid w:val="00F50FB4"/>
    <w:rsid w:val="00F52FE0"/>
    <w:rsid w:val="00F5319A"/>
    <w:rsid w:val="00F55C4B"/>
    <w:rsid w:val="00F55F72"/>
    <w:rsid w:val="00F61564"/>
    <w:rsid w:val="00F631BD"/>
    <w:rsid w:val="00F63812"/>
    <w:rsid w:val="00F63A18"/>
    <w:rsid w:val="00F63A63"/>
    <w:rsid w:val="00F641A3"/>
    <w:rsid w:val="00F65EE0"/>
    <w:rsid w:val="00F65F79"/>
    <w:rsid w:val="00F6608E"/>
    <w:rsid w:val="00F664BA"/>
    <w:rsid w:val="00F6682E"/>
    <w:rsid w:val="00F67620"/>
    <w:rsid w:val="00F71215"/>
    <w:rsid w:val="00F71427"/>
    <w:rsid w:val="00F723C2"/>
    <w:rsid w:val="00F73A73"/>
    <w:rsid w:val="00F74544"/>
    <w:rsid w:val="00F745DA"/>
    <w:rsid w:val="00F76088"/>
    <w:rsid w:val="00F76B6E"/>
    <w:rsid w:val="00F776F2"/>
    <w:rsid w:val="00F77D45"/>
    <w:rsid w:val="00F77F0E"/>
    <w:rsid w:val="00F80422"/>
    <w:rsid w:val="00F80610"/>
    <w:rsid w:val="00F8249C"/>
    <w:rsid w:val="00F83099"/>
    <w:rsid w:val="00F8316D"/>
    <w:rsid w:val="00F84510"/>
    <w:rsid w:val="00F851CB"/>
    <w:rsid w:val="00F8523B"/>
    <w:rsid w:val="00F86AA0"/>
    <w:rsid w:val="00F91B29"/>
    <w:rsid w:val="00F920A5"/>
    <w:rsid w:val="00F92567"/>
    <w:rsid w:val="00F925FA"/>
    <w:rsid w:val="00F93A47"/>
    <w:rsid w:val="00F93DD5"/>
    <w:rsid w:val="00F95FA0"/>
    <w:rsid w:val="00FA0655"/>
    <w:rsid w:val="00FA0C39"/>
    <w:rsid w:val="00FA16E7"/>
    <w:rsid w:val="00FA1A25"/>
    <w:rsid w:val="00FA22F4"/>
    <w:rsid w:val="00FA2FA8"/>
    <w:rsid w:val="00FA3CBB"/>
    <w:rsid w:val="00FA5B33"/>
    <w:rsid w:val="00FA5D04"/>
    <w:rsid w:val="00FA643F"/>
    <w:rsid w:val="00FA6599"/>
    <w:rsid w:val="00FA7872"/>
    <w:rsid w:val="00FB096B"/>
    <w:rsid w:val="00FB120A"/>
    <w:rsid w:val="00FB1940"/>
    <w:rsid w:val="00FB2A80"/>
    <w:rsid w:val="00FB5B17"/>
    <w:rsid w:val="00FB6AE0"/>
    <w:rsid w:val="00FB7B46"/>
    <w:rsid w:val="00FB7C43"/>
    <w:rsid w:val="00FC036A"/>
    <w:rsid w:val="00FC29C6"/>
    <w:rsid w:val="00FC3197"/>
    <w:rsid w:val="00FC36B7"/>
    <w:rsid w:val="00FC383C"/>
    <w:rsid w:val="00FC43AC"/>
    <w:rsid w:val="00FC5A13"/>
    <w:rsid w:val="00FC5E5B"/>
    <w:rsid w:val="00FC668B"/>
    <w:rsid w:val="00FC6EAA"/>
    <w:rsid w:val="00FC7E30"/>
    <w:rsid w:val="00FD131B"/>
    <w:rsid w:val="00FD151D"/>
    <w:rsid w:val="00FD15D8"/>
    <w:rsid w:val="00FD17F8"/>
    <w:rsid w:val="00FD2397"/>
    <w:rsid w:val="00FD375A"/>
    <w:rsid w:val="00FD4394"/>
    <w:rsid w:val="00FD46AA"/>
    <w:rsid w:val="00FD634A"/>
    <w:rsid w:val="00FD6E10"/>
    <w:rsid w:val="00FE0AF9"/>
    <w:rsid w:val="00FE0C7B"/>
    <w:rsid w:val="00FE202C"/>
    <w:rsid w:val="00FE2063"/>
    <w:rsid w:val="00FE22BB"/>
    <w:rsid w:val="00FE23C7"/>
    <w:rsid w:val="00FE5FC0"/>
    <w:rsid w:val="00FE633F"/>
    <w:rsid w:val="00FE6895"/>
    <w:rsid w:val="00FF09AB"/>
    <w:rsid w:val="00FF0E7C"/>
    <w:rsid w:val="00FF18B9"/>
    <w:rsid w:val="00FF27A7"/>
    <w:rsid w:val="00FF3000"/>
    <w:rsid w:val="00FF3180"/>
    <w:rsid w:val="00FF4693"/>
    <w:rsid w:val="00FF4BE3"/>
    <w:rsid w:val="00FF4F17"/>
    <w:rsid w:val="00FF574C"/>
    <w:rsid w:val="00FF6EE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363C"/>
  <w15:docId w15:val="{081A6798-4A64-4C97-9100-9C140D85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50"/>
    <w:pPr>
      <w:jc w:val="both"/>
    </w:pPr>
  </w:style>
  <w:style w:type="paragraph" w:styleId="Naslov1">
    <w:name w:val="heading 1"/>
    <w:basedOn w:val="Normal"/>
    <w:next w:val="Normal"/>
    <w:link w:val="Naslov1Char"/>
    <w:autoRedefine/>
    <w:uiPriority w:val="9"/>
    <w:qFormat/>
    <w:rsid w:val="00FB7B46"/>
    <w:pPr>
      <w:keepNext/>
      <w:keepLines/>
      <w:numPr>
        <w:numId w:val="1"/>
      </w:numPr>
      <w:pBdr>
        <w:bottom w:val="single" w:sz="4" w:space="1" w:color="auto"/>
      </w:pBdr>
      <w:spacing w:before="120" w:after="0"/>
      <w:outlineLvl w:val="0"/>
    </w:pPr>
    <w:rPr>
      <w:rFonts w:eastAsiaTheme="majorEastAsia"/>
      <w:b/>
      <w:bCs/>
    </w:rPr>
  </w:style>
  <w:style w:type="paragraph" w:styleId="Naslov2">
    <w:name w:val="heading 2"/>
    <w:basedOn w:val="Normal"/>
    <w:next w:val="Normal"/>
    <w:link w:val="Naslov2Char"/>
    <w:uiPriority w:val="9"/>
    <w:unhideWhenUsed/>
    <w:qFormat/>
    <w:rsid w:val="00DC08DC"/>
    <w:pPr>
      <w:keepNext/>
      <w:keepLines/>
      <w:numPr>
        <w:ilvl w:val="1"/>
        <w:numId w:val="2"/>
      </w:numPr>
      <w:spacing w:before="200" w:after="0"/>
      <w:outlineLvl w:val="1"/>
    </w:pPr>
    <w:rPr>
      <w:rFonts w:asciiTheme="majorHAnsi" w:eastAsiaTheme="majorEastAsia" w:hAnsiTheme="majorHAnsi" w:cstheme="majorBidi"/>
      <w:b/>
      <w:bCs/>
      <w:sz w:val="32"/>
      <w:szCs w:val="26"/>
    </w:rPr>
  </w:style>
  <w:style w:type="paragraph" w:styleId="Naslov3">
    <w:name w:val="heading 3"/>
    <w:basedOn w:val="Normal"/>
    <w:next w:val="Normal"/>
    <w:link w:val="Naslov3Char"/>
    <w:uiPriority w:val="9"/>
    <w:unhideWhenUsed/>
    <w:qFormat/>
    <w:rsid w:val="002F7C56"/>
    <w:pPr>
      <w:keepNext/>
      <w:keepLines/>
      <w:spacing w:before="40" w:after="0"/>
      <w:outlineLvl w:val="2"/>
    </w:pPr>
    <w:rPr>
      <w:rFonts w:asciiTheme="majorHAnsi" w:eastAsiaTheme="majorEastAsia" w:hAnsiTheme="majorHAnsi" w:cstheme="majorBidi"/>
      <w:color w:val="243F60" w:themeColor="accent1" w:themeShade="7F"/>
    </w:rPr>
  </w:style>
  <w:style w:type="paragraph" w:styleId="Naslov4">
    <w:name w:val="heading 4"/>
    <w:basedOn w:val="Normal"/>
    <w:next w:val="Normal"/>
    <w:link w:val="Naslov4Char"/>
    <w:uiPriority w:val="9"/>
    <w:unhideWhenUsed/>
    <w:qFormat/>
    <w:rsid w:val="00952BB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slov5">
    <w:name w:val="heading 5"/>
    <w:basedOn w:val="Normal"/>
    <w:next w:val="Normal"/>
    <w:link w:val="Naslov5Char"/>
    <w:uiPriority w:val="9"/>
    <w:unhideWhenUsed/>
    <w:qFormat/>
    <w:rsid w:val="00952BB6"/>
    <w:pPr>
      <w:keepNext/>
      <w:keepLines/>
      <w:spacing w:before="40" w:after="0"/>
      <w:ind w:left="1008" w:hanging="1008"/>
      <w:outlineLvl w:val="4"/>
    </w:pPr>
    <w:rPr>
      <w:rFonts w:asciiTheme="majorHAnsi" w:eastAsiaTheme="majorEastAsia" w:hAnsiTheme="majorHAnsi" w:cstheme="majorBidi"/>
      <w:color w:val="365F91" w:themeColor="accent1" w:themeShade="BF"/>
    </w:rPr>
  </w:style>
  <w:style w:type="paragraph" w:styleId="Naslov6">
    <w:name w:val="heading 6"/>
    <w:basedOn w:val="Normal"/>
    <w:next w:val="Normal"/>
    <w:link w:val="Naslov6Char"/>
    <w:uiPriority w:val="9"/>
    <w:semiHidden/>
    <w:unhideWhenUsed/>
    <w:qFormat/>
    <w:rsid w:val="00952BB6"/>
    <w:pPr>
      <w:keepNext/>
      <w:keepLines/>
      <w:spacing w:before="40" w:after="0"/>
      <w:ind w:left="1152" w:hanging="1152"/>
      <w:outlineLvl w:val="5"/>
    </w:pPr>
    <w:rPr>
      <w:rFonts w:asciiTheme="majorHAnsi" w:eastAsiaTheme="majorEastAsia" w:hAnsiTheme="majorHAnsi" w:cstheme="majorBidi"/>
      <w:color w:val="243F60" w:themeColor="accent1" w:themeShade="7F"/>
    </w:rPr>
  </w:style>
  <w:style w:type="paragraph" w:styleId="Naslov7">
    <w:name w:val="heading 7"/>
    <w:basedOn w:val="Normal"/>
    <w:next w:val="Normal"/>
    <w:link w:val="Naslov7Char"/>
    <w:uiPriority w:val="9"/>
    <w:semiHidden/>
    <w:unhideWhenUsed/>
    <w:qFormat/>
    <w:rsid w:val="00952BB6"/>
    <w:pPr>
      <w:keepNext/>
      <w:keepLines/>
      <w:spacing w:before="40" w:after="0"/>
      <w:ind w:left="1296" w:hanging="1296"/>
      <w:outlineLvl w:val="6"/>
    </w:pPr>
    <w:rPr>
      <w:rFonts w:asciiTheme="majorHAnsi" w:eastAsiaTheme="majorEastAsia" w:hAnsiTheme="majorHAnsi" w:cstheme="majorBidi"/>
      <w:i/>
      <w:iCs/>
      <w:color w:val="243F60" w:themeColor="accent1" w:themeShade="7F"/>
    </w:rPr>
  </w:style>
  <w:style w:type="paragraph" w:styleId="Naslov8">
    <w:name w:val="heading 8"/>
    <w:basedOn w:val="Normal"/>
    <w:next w:val="Normal"/>
    <w:link w:val="Naslov8Char"/>
    <w:uiPriority w:val="9"/>
    <w:semiHidden/>
    <w:unhideWhenUsed/>
    <w:qFormat/>
    <w:rsid w:val="00952BB6"/>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952BB6"/>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binitekst">
    <w:name w:val="Plain Text"/>
    <w:basedOn w:val="Normal"/>
    <w:link w:val="ObinitekstChar"/>
    <w:unhideWhenUsed/>
    <w:rsid w:val="001A1C9D"/>
    <w:pPr>
      <w:spacing w:after="0" w:line="240" w:lineRule="auto"/>
    </w:pPr>
    <w:rPr>
      <w:rFonts w:ascii="Consolas" w:hAnsi="Consolas" w:cs="Consolas"/>
      <w:sz w:val="21"/>
      <w:szCs w:val="21"/>
    </w:rPr>
  </w:style>
  <w:style w:type="character" w:customStyle="1" w:styleId="ObinitekstChar">
    <w:name w:val="Obični tekst Char"/>
    <w:basedOn w:val="Zadanifontodlomka"/>
    <w:link w:val="Obinitekst"/>
    <w:rsid w:val="001A1C9D"/>
    <w:rPr>
      <w:rFonts w:ascii="Consolas" w:hAnsi="Consolas" w:cs="Consolas"/>
      <w:sz w:val="21"/>
      <w:szCs w:val="21"/>
    </w:rPr>
  </w:style>
  <w:style w:type="paragraph" w:styleId="Odlomakpopisa">
    <w:name w:val="List Paragraph"/>
    <w:aliases w:val="REPORT Bullet,opsomming 1,2,3 *-,Paragraph,List Paragraph Red,Graf,Heading 12,naslov 1,heading 1,Naslov 12,Graf1,Graf2,Graf3,Graf4,Graf5,Graf6,Graf7,Graf8,Graf9,Graf10,Graf11,Graf12,Graf13,Graf14,Graf15,Graf16,Graf17,Graf18,Graf19"/>
    <w:basedOn w:val="Normal"/>
    <w:link w:val="OdlomakpopisaChar"/>
    <w:uiPriority w:val="34"/>
    <w:qFormat/>
    <w:rsid w:val="001A1C9D"/>
    <w:pPr>
      <w:ind w:left="720"/>
      <w:contextualSpacing/>
    </w:pPr>
  </w:style>
  <w:style w:type="paragraph" w:customStyle="1" w:styleId="Normal1">
    <w:name w:val="Normal1"/>
    <w:basedOn w:val="Normal"/>
    <w:rsid w:val="00576116"/>
    <w:pPr>
      <w:spacing w:before="120" w:after="0" w:line="240" w:lineRule="auto"/>
    </w:pPr>
    <w:rPr>
      <w:rFonts w:eastAsia="Times New Roman"/>
      <w:lang w:eastAsia="hr-HR"/>
    </w:rPr>
  </w:style>
  <w:style w:type="paragraph" w:customStyle="1" w:styleId="tbl-txt">
    <w:name w:val="tbl-txt"/>
    <w:basedOn w:val="Normal"/>
    <w:rsid w:val="00576116"/>
    <w:pPr>
      <w:spacing w:before="60" w:after="60" w:line="240" w:lineRule="auto"/>
    </w:pPr>
    <w:rPr>
      <w:rFonts w:eastAsia="Times New Roman"/>
      <w:sz w:val="22"/>
      <w:szCs w:val="22"/>
      <w:lang w:eastAsia="hr-HR"/>
    </w:rPr>
  </w:style>
  <w:style w:type="paragraph" w:customStyle="1" w:styleId="ti-tbl">
    <w:name w:val="ti-tbl"/>
    <w:basedOn w:val="Normal"/>
    <w:rsid w:val="00576116"/>
    <w:pPr>
      <w:spacing w:before="120" w:after="120" w:line="240" w:lineRule="auto"/>
      <w:jc w:val="center"/>
    </w:pPr>
    <w:rPr>
      <w:rFonts w:eastAsia="Times New Roman"/>
      <w:lang w:eastAsia="hr-HR"/>
    </w:rPr>
  </w:style>
  <w:style w:type="character" w:customStyle="1" w:styleId="bold">
    <w:name w:val="bold"/>
    <w:basedOn w:val="Zadanifontodlomka"/>
    <w:rsid w:val="00576116"/>
    <w:rPr>
      <w:b/>
      <w:bCs/>
    </w:rPr>
  </w:style>
  <w:style w:type="character" w:customStyle="1" w:styleId="italic">
    <w:name w:val="italic"/>
    <w:basedOn w:val="Zadanifontodlomka"/>
    <w:rsid w:val="00576116"/>
    <w:rPr>
      <w:i/>
      <w:iCs/>
    </w:rPr>
  </w:style>
  <w:style w:type="character" w:customStyle="1" w:styleId="super">
    <w:name w:val="super"/>
    <w:basedOn w:val="Zadanifontodlomka"/>
    <w:rsid w:val="00576116"/>
    <w:rPr>
      <w:sz w:val="17"/>
      <w:szCs w:val="17"/>
      <w:vertAlign w:val="superscript"/>
    </w:rPr>
  </w:style>
  <w:style w:type="character" w:styleId="Hiperveza">
    <w:name w:val="Hyperlink"/>
    <w:basedOn w:val="Zadanifontodlomka"/>
    <w:uiPriority w:val="99"/>
    <w:unhideWhenUsed/>
    <w:rsid w:val="00576116"/>
    <w:rPr>
      <w:color w:val="0000FF"/>
      <w:u w:val="single"/>
    </w:rPr>
  </w:style>
  <w:style w:type="character" w:customStyle="1" w:styleId="Naslov1Char">
    <w:name w:val="Naslov 1 Char"/>
    <w:basedOn w:val="Zadanifontodlomka"/>
    <w:link w:val="Naslov1"/>
    <w:uiPriority w:val="9"/>
    <w:rsid w:val="00FB7B46"/>
    <w:rPr>
      <w:rFonts w:eastAsiaTheme="majorEastAsia"/>
      <w:b/>
      <w:bCs/>
    </w:rPr>
  </w:style>
  <w:style w:type="paragraph" w:styleId="TOCNaslov">
    <w:name w:val="TOC Heading"/>
    <w:basedOn w:val="Naslov1"/>
    <w:next w:val="Normal"/>
    <w:uiPriority w:val="39"/>
    <w:unhideWhenUsed/>
    <w:qFormat/>
    <w:rsid w:val="00B15106"/>
    <w:pPr>
      <w:outlineLvl w:val="9"/>
    </w:pPr>
    <w:rPr>
      <w:lang w:eastAsia="hr-HR"/>
    </w:rPr>
  </w:style>
  <w:style w:type="paragraph" w:styleId="Tekstbalonia">
    <w:name w:val="Balloon Text"/>
    <w:basedOn w:val="Normal"/>
    <w:link w:val="TekstbaloniaChar"/>
    <w:uiPriority w:val="99"/>
    <w:semiHidden/>
    <w:unhideWhenUsed/>
    <w:rsid w:val="00B1510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15106"/>
    <w:rPr>
      <w:rFonts w:ascii="Tahoma" w:hAnsi="Tahoma" w:cs="Tahoma"/>
      <w:sz w:val="16"/>
      <w:szCs w:val="16"/>
    </w:rPr>
  </w:style>
  <w:style w:type="paragraph" w:styleId="Naslov">
    <w:name w:val="Title"/>
    <w:basedOn w:val="Normal"/>
    <w:next w:val="Normal"/>
    <w:link w:val="NaslovChar"/>
    <w:uiPriority w:val="10"/>
    <w:qFormat/>
    <w:rsid w:val="00E85DD1"/>
    <w:pPr>
      <w:spacing w:after="300" w:line="240" w:lineRule="auto"/>
      <w:contextualSpacing/>
    </w:pPr>
    <w:rPr>
      <w:rFonts w:asciiTheme="majorHAnsi" w:eastAsiaTheme="majorEastAsia" w:hAnsiTheme="majorHAnsi" w:cstheme="majorBidi"/>
      <w:spacing w:val="5"/>
      <w:kern w:val="28"/>
      <w:sz w:val="52"/>
      <w:szCs w:val="52"/>
    </w:rPr>
  </w:style>
  <w:style w:type="character" w:customStyle="1" w:styleId="NaslovChar">
    <w:name w:val="Naslov Char"/>
    <w:basedOn w:val="Zadanifontodlomka"/>
    <w:link w:val="Naslov"/>
    <w:uiPriority w:val="10"/>
    <w:rsid w:val="00E85DD1"/>
    <w:rPr>
      <w:rFonts w:asciiTheme="majorHAnsi" w:eastAsiaTheme="majorEastAsia" w:hAnsiTheme="majorHAnsi" w:cstheme="majorBidi"/>
      <w:spacing w:val="5"/>
      <w:kern w:val="28"/>
      <w:sz w:val="52"/>
      <w:szCs w:val="52"/>
    </w:rPr>
  </w:style>
  <w:style w:type="paragraph" w:styleId="Sadraj1">
    <w:name w:val="toc 1"/>
    <w:basedOn w:val="Normal"/>
    <w:next w:val="Normal"/>
    <w:autoRedefine/>
    <w:uiPriority w:val="39"/>
    <w:unhideWhenUsed/>
    <w:qFormat/>
    <w:rsid w:val="004F52A9"/>
    <w:pPr>
      <w:spacing w:after="100"/>
    </w:pPr>
  </w:style>
  <w:style w:type="paragraph" w:styleId="Sadraj2">
    <w:name w:val="toc 2"/>
    <w:basedOn w:val="Normal"/>
    <w:next w:val="Normal"/>
    <w:autoRedefine/>
    <w:uiPriority w:val="39"/>
    <w:unhideWhenUsed/>
    <w:qFormat/>
    <w:rsid w:val="004F52A9"/>
    <w:pPr>
      <w:spacing w:after="100"/>
      <w:ind w:left="220"/>
      <w:jc w:val="left"/>
    </w:pPr>
    <w:rPr>
      <w:rFonts w:asciiTheme="minorHAnsi" w:eastAsiaTheme="minorEastAsia" w:hAnsiTheme="minorHAnsi" w:cstheme="minorBidi"/>
      <w:sz w:val="22"/>
      <w:szCs w:val="22"/>
      <w:lang w:eastAsia="hr-HR"/>
    </w:rPr>
  </w:style>
  <w:style w:type="paragraph" w:styleId="Sadraj3">
    <w:name w:val="toc 3"/>
    <w:basedOn w:val="Normal"/>
    <w:next w:val="Normal"/>
    <w:autoRedefine/>
    <w:uiPriority w:val="39"/>
    <w:unhideWhenUsed/>
    <w:qFormat/>
    <w:rsid w:val="004F52A9"/>
    <w:pPr>
      <w:spacing w:after="100"/>
      <w:ind w:left="440"/>
      <w:jc w:val="left"/>
    </w:pPr>
    <w:rPr>
      <w:rFonts w:asciiTheme="minorHAnsi" w:eastAsiaTheme="minorEastAsia" w:hAnsiTheme="minorHAnsi" w:cstheme="minorBidi"/>
      <w:sz w:val="22"/>
      <w:szCs w:val="22"/>
      <w:lang w:eastAsia="hr-HR"/>
    </w:rPr>
  </w:style>
  <w:style w:type="character" w:customStyle="1" w:styleId="Naslov2Char">
    <w:name w:val="Naslov 2 Char"/>
    <w:basedOn w:val="Zadanifontodlomka"/>
    <w:link w:val="Naslov2"/>
    <w:uiPriority w:val="9"/>
    <w:rsid w:val="00DC08DC"/>
    <w:rPr>
      <w:rFonts w:asciiTheme="majorHAnsi" w:eastAsiaTheme="majorEastAsia" w:hAnsiTheme="majorHAnsi" w:cstheme="majorBidi"/>
      <w:b/>
      <w:bCs/>
      <w:sz w:val="32"/>
      <w:szCs w:val="26"/>
    </w:rPr>
  </w:style>
  <w:style w:type="paragraph" w:styleId="Opisslike">
    <w:name w:val="caption"/>
    <w:basedOn w:val="Normal"/>
    <w:next w:val="Normal"/>
    <w:link w:val="OpisslikeChar"/>
    <w:uiPriority w:val="99"/>
    <w:unhideWhenUsed/>
    <w:qFormat/>
    <w:rsid w:val="00554E1D"/>
    <w:pPr>
      <w:spacing w:line="240" w:lineRule="auto"/>
    </w:pPr>
    <w:rPr>
      <w:b/>
      <w:bCs/>
      <w:color w:val="4F81BD" w:themeColor="accent1"/>
      <w:sz w:val="18"/>
      <w:szCs w:val="18"/>
    </w:rPr>
  </w:style>
  <w:style w:type="character" w:styleId="Referencakomentara">
    <w:name w:val="annotation reference"/>
    <w:basedOn w:val="Zadanifontodlomka"/>
    <w:uiPriority w:val="99"/>
    <w:semiHidden/>
    <w:unhideWhenUsed/>
    <w:rsid w:val="00D11274"/>
    <w:rPr>
      <w:sz w:val="16"/>
      <w:szCs w:val="16"/>
    </w:rPr>
  </w:style>
  <w:style w:type="paragraph" w:styleId="Tekstkomentara">
    <w:name w:val="annotation text"/>
    <w:basedOn w:val="Normal"/>
    <w:link w:val="TekstkomentaraChar"/>
    <w:uiPriority w:val="99"/>
    <w:unhideWhenUsed/>
    <w:rsid w:val="00D11274"/>
    <w:pPr>
      <w:spacing w:line="240" w:lineRule="auto"/>
    </w:pPr>
    <w:rPr>
      <w:sz w:val="20"/>
      <w:szCs w:val="20"/>
    </w:rPr>
  </w:style>
  <w:style w:type="character" w:customStyle="1" w:styleId="TekstkomentaraChar">
    <w:name w:val="Tekst komentara Char"/>
    <w:basedOn w:val="Zadanifontodlomka"/>
    <w:link w:val="Tekstkomentara"/>
    <w:uiPriority w:val="99"/>
    <w:rsid w:val="00D11274"/>
    <w:rPr>
      <w:sz w:val="20"/>
      <w:szCs w:val="20"/>
    </w:rPr>
  </w:style>
  <w:style w:type="paragraph" w:styleId="Predmetkomentara">
    <w:name w:val="annotation subject"/>
    <w:basedOn w:val="Tekstkomentara"/>
    <w:next w:val="Tekstkomentara"/>
    <w:link w:val="PredmetkomentaraChar"/>
    <w:uiPriority w:val="99"/>
    <w:semiHidden/>
    <w:unhideWhenUsed/>
    <w:rsid w:val="00D11274"/>
    <w:rPr>
      <w:b/>
      <w:bCs/>
    </w:rPr>
  </w:style>
  <w:style w:type="character" w:customStyle="1" w:styleId="PredmetkomentaraChar">
    <w:name w:val="Predmet komentara Char"/>
    <w:basedOn w:val="TekstkomentaraChar"/>
    <w:link w:val="Predmetkomentara"/>
    <w:uiPriority w:val="99"/>
    <w:semiHidden/>
    <w:rsid w:val="00D11274"/>
    <w:rPr>
      <w:b/>
      <w:bCs/>
      <w:sz w:val="20"/>
      <w:szCs w:val="20"/>
    </w:rPr>
  </w:style>
  <w:style w:type="paragraph" w:styleId="Zaglavlje">
    <w:name w:val="header"/>
    <w:basedOn w:val="Normal"/>
    <w:link w:val="ZaglavljeChar"/>
    <w:uiPriority w:val="99"/>
    <w:unhideWhenUsed/>
    <w:rsid w:val="0055154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5154B"/>
  </w:style>
  <w:style w:type="paragraph" w:styleId="Podnoje">
    <w:name w:val="footer"/>
    <w:basedOn w:val="Normal"/>
    <w:link w:val="PodnojeChar"/>
    <w:uiPriority w:val="99"/>
    <w:unhideWhenUsed/>
    <w:rsid w:val="0055154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5154B"/>
  </w:style>
  <w:style w:type="character" w:customStyle="1" w:styleId="OpisslikeChar">
    <w:name w:val="Opis slike Char"/>
    <w:link w:val="Opisslike"/>
    <w:uiPriority w:val="99"/>
    <w:rsid w:val="00657BFF"/>
    <w:rPr>
      <w:b/>
      <w:bCs/>
      <w:color w:val="4F81BD" w:themeColor="accent1"/>
      <w:sz w:val="18"/>
      <w:szCs w:val="18"/>
    </w:rPr>
  </w:style>
  <w:style w:type="table" w:styleId="Reetkatablice">
    <w:name w:val="Table Grid"/>
    <w:basedOn w:val="Obinatablica"/>
    <w:uiPriority w:val="39"/>
    <w:rsid w:val="00C52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uiPriority w:val="9"/>
    <w:rsid w:val="002F7C56"/>
    <w:rPr>
      <w:rFonts w:asciiTheme="majorHAnsi" w:eastAsiaTheme="majorEastAsia" w:hAnsiTheme="majorHAnsi" w:cstheme="majorBidi"/>
      <w:color w:val="243F60" w:themeColor="accent1" w:themeShade="7F"/>
    </w:rPr>
  </w:style>
  <w:style w:type="paragraph" w:styleId="Revizija">
    <w:name w:val="Revision"/>
    <w:hidden/>
    <w:uiPriority w:val="99"/>
    <w:semiHidden/>
    <w:rsid w:val="00CE3866"/>
    <w:pPr>
      <w:spacing w:after="0" w:line="240" w:lineRule="auto"/>
    </w:pPr>
  </w:style>
  <w:style w:type="character" w:customStyle="1" w:styleId="BezproredaChar">
    <w:name w:val="Bez proreda Char"/>
    <w:basedOn w:val="Zadanifontodlomka"/>
    <w:link w:val="Bezproreda"/>
    <w:uiPriority w:val="1"/>
    <w:locked/>
    <w:rsid w:val="00311395"/>
  </w:style>
  <w:style w:type="paragraph" w:styleId="Bezproreda">
    <w:name w:val="No Spacing"/>
    <w:basedOn w:val="Normal"/>
    <w:link w:val="BezproredaChar"/>
    <w:uiPriority w:val="1"/>
    <w:qFormat/>
    <w:rsid w:val="00311395"/>
    <w:pPr>
      <w:spacing w:after="0" w:line="240" w:lineRule="auto"/>
      <w:jc w:val="left"/>
    </w:pPr>
  </w:style>
  <w:style w:type="paragraph" w:styleId="Tijeloteksta">
    <w:name w:val="Body Text"/>
    <w:basedOn w:val="Normal"/>
    <w:link w:val="TijelotekstaChar"/>
    <w:uiPriority w:val="1"/>
    <w:unhideWhenUsed/>
    <w:qFormat/>
    <w:rsid w:val="00BE6EB7"/>
    <w:pPr>
      <w:widowControl w:val="0"/>
      <w:autoSpaceDE w:val="0"/>
      <w:autoSpaceDN w:val="0"/>
      <w:spacing w:after="0" w:line="240" w:lineRule="auto"/>
      <w:ind w:left="116"/>
      <w:jc w:val="left"/>
    </w:pPr>
    <w:rPr>
      <w:rFonts w:eastAsia="Times New Roman"/>
      <w:lang w:eastAsia="hr-HR" w:bidi="hr-HR"/>
    </w:rPr>
  </w:style>
  <w:style w:type="character" w:customStyle="1" w:styleId="TijelotekstaChar">
    <w:name w:val="Tijelo teksta Char"/>
    <w:basedOn w:val="Zadanifontodlomka"/>
    <w:link w:val="Tijeloteksta"/>
    <w:uiPriority w:val="1"/>
    <w:rsid w:val="00BE6EB7"/>
    <w:rPr>
      <w:rFonts w:eastAsia="Times New Roman"/>
      <w:lang w:eastAsia="hr-HR" w:bidi="hr-HR"/>
    </w:rPr>
  </w:style>
  <w:style w:type="paragraph" w:customStyle="1" w:styleId="box462116">
    <w:name w:val="box_462116"/>
    <w:basedOn w:val="Normal"/>
    <w:rsid w:val="00601F41"/>
    <w:pPr>
      <w:spacing w:before="100" w:beforeAutospacing="1" w:after="100" w:afterAutospacing="1" w:line="240" w:lineRule="auto"/>
      <w:jc w:val="left"/>
    </w:pPr>
    <w:rPr>
      <w:rFonts w:eastAsia="Times New Roman"/>
      <w:lang w:eastAsia="hr-HR"/>
    </w:rPr>
  </w:style>
  <w:style w:type="character" w:customStyle="1" w:styleId="Naslov4Char">
    <w:name w:val="Naslov 4 Char"/>
    <w:basedOn w:val="Zadanifontodlomka"/>
    <w:link w:val="Naslov4"/>
    <w:uiPriority w:val="9"/>
    <w:rsid w:val="00952BB6"/>
    <w:rPr>
      <w:rFonts w:asciiTheme="majorHAnsi" w:eastAsiaTheme="majorEastAsia" w:hAnsiTheme="majorHAnsi" w:cstheme="majorBidi"/>
      <w:i/>
      <w:iCs/>
      <w:color w:val="365F91" w:themeColor="accent1" w:themeShade="BF"/>
    </w:rPr>
  </w:style>
  <w:style w:type="character" w:customStyle="1" w:styleId="Naslov5Char">
    <w:name w:val="Naslov 5 Char"/>
    <w:basedOn w:val="Zadanifontodlomka"/>
    <w:link w:val="Naslov5"/>
    <w:uiPriority w:val="9"/>
    <w:rsid w:val="00952BB6"/>
    <w:rPr>
      <w:rFonts w:asciiTheme="majorHAnsi" w:eastAsiaTheme="majorEastAsia" w:hAnsiTheme="majorHAnsi" w:cstheme="majorBidi"/>
      <w:color w:val="365F91" w:themeColor="accent1" w:themeShade="BF"/>
    </w:rPr>
  </w:style>
  <w:style w:type="character" w:customStyle="1" w:styleId="Naslov6Char">
    <w:name w:val="Naslov 6 Char"/>
    <w:basedOn w:val="Zadanifontodlomka"/>
    <w:link w:val="Naslov6"/>
    <w:uiPriority w:val="9"/>
    <w:semiHidden/>
    <w:rsid w:val="00952BB6"/>
    <w:rPr>
      <w:rFonts w:asciiTheme="majorHAnsi" w:eastAsiaTheme="majorEastAsia" w:hAnsiTheme="majorHAnsi" w:cstheme="majorBidi"/>
      <w:color w:val="243F60" w:themeColor="accent1" w:themeShade="7F"/>
    </w:rPr>
  </w:style>
  <w:style w:type="character" w:customStyle="1" w:styleId="Naslov7Char">
    <w:name w:val="Naslov 7 Char"/>
    <w:basedOn w:val="Zadanifontodlomka"/>
    <w:link w:val="Naslov7"/>
    <w:uiPriority w:val="9"/>
    <w:semiHidden/>
    <w:rsid w:val="00952BB6"/>
    <w:rPr>
      <w:rFonts w:asciiTheme="majorHAnsi" w:eastAsiaTheme="majorEastAsia" w:hAnsiTheme="majorHAnsi" w:cstheme="majorBidi"/>
      <w:i/>
      <w:iCs/>
      <w:color w:val="243F60" w:themeColor="accent1" w:themeShade="7F"/>
    </w:rPr>
  </w:style>
  <w:style w:type="character" w:customStyle="1" w:styleId="Naslov8Char">
    <w:name w:val="Naslov 8 Char"/>
    <w:basedOn w:val="Zadanifontodlomka"/>
    <w:link w:val="Naslov8"/>
    <w:uiPriority w:val="9"/>
    <w:semiHidden/>
    <w:rsid w:val="00952BB6"/>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952BB6"/>
    <w:rPr>
      <w:rFonts w:asciiTheme="majorHAnsi" w:eastAsiaTheme="majorEastAsia" w:hAnsiTheme="majorHAnsi" w:cstheme="majorBidi"/>
      <w:i/>
      <w:iCs/>
      <w:color w:val="272727" w:themeColor="text1" w:themeTint="D8"/>
      <w:sz w:val="21"/>
      <w:szCs w:val="21"/>
    </w:rPr>
  </w:style>
  <w:style w:type="character" w:customStyle="1" w:styleId="OdlomakpopisaChar">
    <w:name w:val="Odlomak popisa Char"/>
    <w:aliases w:val="REPORT Bullet Char,opsomming 1 Char,2 Char,3 *- Char,Paragraph Char,List Paragraph Red Char,Graf Char,Heading 12 Char,naslov 1 Char,heading 1 Char,Naslov 12 Char,Graf1 Char,Graf2 Char,Graf3 Char,Graf4 Char,Graf5 Char,Graf6 Char"/>
    <w:link w:val="Odlomakpopisa"/>
    <w:uiPriority w:val="34"/>
    <w:locked/>
    <w:rsid w:val="00952BB6"/>
  </w:style>
  <w:style w:type="paragraph" w:customStyle="1" w:styleId="Default">
    <w:name w:val="Default"/>
    <w:rsid w:val="00E23C38"/>
    <w:pPr>
      <w:autoSpaceDE w:val="0"/>
      <w:autoSpaceDN w:val="0"/>
      <w:adjustRightInd w:val="0"/>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9667">
      <w:bodyDiv w:val="1"/>
      <w:marLeft w:val="0"/>
      <w:marRight w:val="0"/>
      <w:marTop w:val="0"/>
      <w:marBottom w:val="0"/>
      <w:divBdr>
        <w:top w:val="none" w:sz="0" w:space="0" w:color="auto"/>
        <w:left w:val="none" w:sz="0" w:space="0" w:color="auto"/>
        <w:bottom w:val="none" w:sz="0" w:space="0" w:color="auto"/>
        <w:right w:val="none" w:sz="0" w:space="0" w:color="auto"/>
      </w:divBdr>
    </w:div>
    <w:div w:id="41371108">
      <w:bodyDiv w:val="1"/>
      <w:marLeft w:val="0"/>
      <w:marRight w:val="0"/>
      <w:marTop w:val="0"/>
      <w:marBottom w:val="0"/>
      <w:divBdr>
        <w:top w:val="none" w:sz="0" w:space="0" w:color="auto"/>
        <w:left w:val="none" w:sz="0" w:space="0" w:color="auto"/>
        <w:bottom w:val="none" w:sz="0" w:space="0" w:color="auto"/>
        <w:right w:val="none" w:sz="0" w:space="0" w:color="auto"/>
      </w:divBdr>
    </w:div>
    <w:div w:id="62920567">
      <w:bodyDiv w:val="1"/>
      <w:marLeft w:val="0"/>
      <w:marRight w:val="0"/>
      <w:marTop w:val="0"/>
      <w:marBottom w:val="0"/>
      <w:divBdr>
        <w:top w:val="none" w:sz="0" w:space="0" w:color="auto"/>
        <w:left w:val="none" w:sz="0" w:space="0" w:color="auto"/>
        <w:bottom w:val="none" w:sz="0" w:space="0" w:color="auto"/>
        <w:right w:val="none" w:sz="0" w:space="0" w:color="auto"/>
      </w:divBdr>
    </w:div>
    <w:div w:id="73867528">
      <w:bodyDiv w:val="1"/>
      <w:marLeft w:val="0"/>
      <w:marRight w:val="0"/>
      <w:marTop w:val="0"/>
      <w:marBottom w:val="0"/>
      <w:divBdr>
        <w:top w:val="none" w:sz="0" w:space="0" w:color="auto"/>
        <w:left w:val="none" w:sz="0" w:space="0" w:color="auto"/>
        <w:bottom w:val="none" w:sz="0" w:space="0" w:color="auto"/>
        <w:right w:val="none" w:sz="0" w:space="0" w:color="auto"/>
      </w:divBdr>
    </w:div>
    <w:div w:id="86579174">
      <w:bodyDiv w:val="1"/>
      <w:marLeft w:val="0"/>
      <w:marRight w:val="0"/>
      <w:marTop w:val="0"/>
      <w:marBottom w:val="0"/>
      <w:divBdr>
        <w:top w:val="none" w:sz="0" w:space="0" w:color="auto"/>
        <w:left w:val="none" w:sz="0" w:space="0" w:color="auto"/>
        <w:bottom w:val="none" w:sz="0" w:space="0" w:color="auto"/>
        <w:right w:val="none" w:sz="0" w:space="0" w:color="auto"/>
      </w:divBdr>
    </w:div>
    <w:div w:id="88159832">
      <w:bodyDiv w:val="1"/>
      <w:marLeft w:val="0"/>
      <w:marRight w:val="0"/>
      <w:marTop w:val="0"/>
      <w:marBottom w:val="0"/>
      <w:divBdr>
        <w:top w:val="none" w:sz="0" w:space="0" w:color="auto"/>
        <w:left w:val="none" w:sz="0" w:space="0" w:color="auto"/>
        <w:bottom w:val="none" w:sz="0" w:space="0" w:color="auto"/>
        <w:right w:val="none" w:sz="0" w:space="0" w:color="auto"/>
      </w:divBdr>
    </w:div>
    <w:div w:id="111288147">
      <w:bodyDiv w:val="1"/>
      <w:marLeft w:val="0"/>
      <w:marRight w:val="0"/>
      <w:marTop w:val="0"/>
      <w:marBottom w:val="0"/>
      <w:divBdr>
        <w:top w:val="none" w:sz="0" w:space="0" w:color="auto"/>
        <w:left w:val="none" w:sz="0" w:space="0" w:color="auto"/>
        <w:bottom w:val="none" w:sz="0" w:space="0" w:color="auto"/>
        <w:right w:val="none" w:sz="0" w:space="0" w:color="auto"/>
      </w:divBdr>
    </w:div>
    <w:div w:id="123692318">
      <w:bodyDiv w:val="1"/>
      <w:marLeft w:val="0"/>
      <w:marRight w:val="0"/>
      <w:marTop w:val="0"/>
      <w:marBottom w:val="0"/>
      <w:divBdr>
        <w:top w:val="none" w:sz="0" w:space="0" w:color="auto"/>
        <w:left w:val="none" w:sz="0" w:space="0" w:color="auto"/>
        <w:bottom w:val="none" w:sz="0" w:space="0" w:color="auto"/>
        <w:right w:val="none" w:sz="0" w:space="0" w:color="auto"/>
      </w:divBdr>
    </w:div>
    <w:div w:id="133185157">
      <w:bodyDiv w:val="1"/>
      <w:marLeft w:val="0"/>
      <w:marRight w:val="0"/>
      <w:marTop w:val="0"/>
      <w:marBottom w:val="0"/>
      <w:divBdr>
        <w:top w:val="none" w:sz="0" w:space="0" w:color="auto"/>
        <w:left w:val="none" w:sz="0" w:space="0" w:color="auto"/>
        <w:bottom w:val="none" w:sz="0" w:space="0" w:color="auto"/>
        <w:right w:val="none" w:sz="0" w:space="0" w:color="auto"/>
      </w:divBdr>
    </w:div>
    <w:div w:id="145049071">
      <w:bodyDiv w:val="1"/>
      <w:marLeft w:val="0"/>
      <w:marRight w:val="0"/>
      <w:marTop w:val="0"/>
      <w:marBottom w:val="0"/>
      <w:divBdr>
        <w:top w:val="none" w:sz="0" w:space="0" w:color="auto"/>
        <w:left w:val="none" w:sz="0" w:space="0" w:color="auto"/>
        <w:bottom w:val="none" w:sz="0" w:space="0" w:color="auto"/>
        <w:right w:val="none" w:sz="0" w:space="0" w:color="auto"/>
      </w:divBdr>
    </w:div>
    <w:div w:id="154303082">
      <w:bodyDiv w:val="1"/>
      <w:marLeft w:val="0"/>
      <w:marRight w:val="0"/>
      <w:marTop w:val="0"/>
      <w:marBottom w:val="0"/>
      <w:divBdr>
        <w:top w:val="none" w:sz="0" w:space="0" w:color="auto"/>
        <w:left w:val="none" w:sz="0" w:space="0" w:color="auto"/>
        <w:bottom w:val="none" w:sz="0" w:space="0" w:color="auto"/>
        <w:right w:val="none" w:sz="0" w:space="0" w:color="auto"/>
      </w:divBdr>
    </w:div>
    <w:div w:id="165096627">
      <w:bodyDiv w:val="1"/>
      <w:marLeft w:val="0"/>
      <w:marRight w:val="0"/>
      <w:marTop w:val="0"/>
      <w:marBottom w:val="0"/>
      <w:divBdr>
        <w:top w:val="none" w:sz="0" w:space="0" w:color="auto"/>
        <w:left w:val="none" w:sz="0" w:space="0" w:color="auto"/>
        <w:bottom w:val="none" w:sz="0" w:space="0" w:color="auto"/>
        <w:right w:val="none" w:sz="0" w:space="0" w:color="auto"/>
      </w:divBdr>
    </w:div>
    <w:div w:id="176697008">
      <w:bodyDiv w:val="1"/>
      <w:marLeft w:val="0"/>
      <w:marRight w:val="0"/>
      <w:marTop w:val="0"/>
      <w:marBottom w:val="0"/>
      <w:divBdr>
        <w:top w:val="none" w:sz="0" w:space="0" w:color="auto"/>
        <w:left w:val="none" w:sz="0" w:space="0" w:color="auto"/>
        <w:bottom w:val="none" w:sz="0" w:space="0" w:color="auto"/>
        <w:right w:val="none" w:sz="0" w:space="0" w:color="auto"/>
      </w:divBdr>
    </w:div>
    <w:div w:id="187524724">
      <w:bodyDiv w:val="1"/>
      <w:marLeft w:val="0"/>
      <w:marRight w:val="0"/>
      <w:marTop w:val="0"/>
      <w:marBottom w:val="0"/>
      <w:divBdr>
        <w:top w:val="none" w:sz="0" w:space="0" w:color="auto"/>
        <w:left w:val="none" w:sz="0" w:space="0" w:color="auto"/>
        <w:bottom w:val="none" w:sz="0" w:space="0" w:color="auto"/>
        <w:right w:val="none" w:sz="0" w:space="0" w:color="auto"/>
      </w:divBdr>
    </w:div>
    <w:div w:id="193076093">
      <w:bodyDiv w:val="1"/>
      <w:marLeft w:val="0"/>
      <w:marRight w:val="0"/>
      <w:marTop w:val="0"/>
      <w:marBottom w:val="0"/>
      <w:divBdr>
        <w:top w:val="none" w:sz="0" w:space="0" w:color="auto"/>
        <w:left w:val="none" w:sz="0" w:space="0" w:color="auto"/>
        <w:bottom w:val="none" w:sz="0" w:space="0" w:color="auto"/>
        <w:right w:val="none" w:sz="0" w:space="0" w:color="auto"/>
      </w:divBdr>
    </w:div>
    <w:div w:id="197739421">
      <w:bodyDiv w:val="1"/>
      <w:marLeft w:val="0"/>
      <w:marRight w:val="0"/>
      <w:marTop w:val="0"/>
      <w:marBottom w:val="0"/>
      <w:divBdr>
        <w:top w:val="none" w:sz="0" w:space="0" w:color="auto"/>
        <w:left w:val="none" w:sz="0" w:space="0" w:color="auto"/>
        <w:bottom w:val="none" w:sz="0" w:space="0" w:color="auto"/>
        <w:right w:val="none" w:sz="0" w:space="0" w:color="auto"/>
      </w:divBdr>
    </w:div>
    <w:div w:id="217320393">
      <w:bodyDiv w:val="1"/>
      <w:marLeft w:val="0"/>
      <w:marRight w:val="0"/>
      <w:marTop w:val="0"/>
      <w:marBottom w:val="0"/>
      <w:divBdr>
        <w:top w:val="none" w:sz="0" w:space="0" w:color="auto"/>
        <w:left w:val="none" w:sz="0" w:space="0" w:color="auto"/>
        <w:bottom w:val="none" w:sz="0" w:space="0" w:color="auto"/>
        <w:right w:val="none" w:sz="0" w:space="0" w:color="auto"/>
      </w:divBdr>
    </w:div>
    <w:div w:id="219437082">
      <w:bodyDiv w:val="1"/>
      <w:marLeft w:val="0"/>
      <w:marRight w:val="0"/>
      <w:marTop w:val="0"/>
      <w:marBottom w:val="0"/>
      <w:divBdr>
        <w:top w:val="none" w:sz="0" w:space="0" w:color="auto"/>
        <w:left w:val="none" w:sz="0" w:space="0" w:color="auto"/>
        <w:bottom w:val="none" w:sz="0" w:space="0" w:color="auto"/>
        <w:right w:val="none" w:sz="0" w:space="0" w:color="auto"/>
      </w:divBdr>
    </w:div>
    <w:div w:id="223641265">
      <w:bodyDiv w:val="1"/>
      <w:marLeft w:val="0"/>
      <w:marRight w:val="0"/>
      <w:marTop w:val="0"/>
      <w:marBottom w:val="0"/>
      <w:divBdr>
        <w:top w:val="none" w:sz="0" w:space="0" w:color="auto"/>
        <w:left w:val="none" w:sz="0" w:space="0" w:color="auto"/>
        <w:bottom w:val="none" w:sz="0" w:space="0" w:color="auto"/>
        <w:right w:val="none" w:sz="0" w:space="0" w:color="auto"/>
      </w:divBdr>
    </w:div>
    <w:div w:id="223755149">
      <w:bodyDiv w:val="1"/>
      <w:marLeft w:val="0"/>
      <w:marRight w:val="0"/>
      <w:marTop w:val="0"/>
      <w:marBottom w:val="0"/>
      <w:divBdr>
        <w:top w:val="none" w:sz="0" w:space="0" w:color="auto"/>
        <w:left w:val="none" w:sz="0" w:space="0" w:color="auto"/>
        <w:bottom w:val="none" w:sz="0" w:space="0" w:color="auto"/>
        <w:right w:val="none" w:sz="0" w:space="0" w:color="auto"/>
      </w:divBdr>
    </w:div>
    <w:div w:id="237329795">
      <w:bodyDiv w:val="1"/>
      <w:marLeft w:val="390"/>
      <w:marRight w:val="390"/>
      <w:marTop w:val="0"/>
      <w:marBottom w:val="0"/>
      <w:divBdr>
        <w:top w:val="none" w:sz="0" w:space="0" w:color="auto"/>
        <w:left w:val="none" w:sz="0" w:space="0" w:color="auto"/>
        <w:bottom w:val="none" w:sz="0" w:space="0" w:color="auto"/>
        <w:right w:val="none" w:sz="0" w:space="0" w:color="auto"/>
      </w:divBdr>
      <w:divsChild>
        <w:div w:id="859243597">
          <w:marLeft w:val="0"/>
          <w:marRight w:val="0"/>
          <w:marTop w:val="0"/>
          <w:marBottom w:val="0"/>
          <w:divBdr>
            <w:top w:val="none" w:sz="0" w:space="0" w:color="auto"/>
            <w:left w:val="none" w:sz="0" w:space="0" w:color="auto"/>
            <w:bottom w:val="none" w:sz="0" w:space="0" w:color="auto"/>
            <w:right w:val="none" w:sz="0" w:space="0" w:color="auto"/>
          </w:divBdr>
        </w:div>
      </w:divsChild>
    </w:div>
    <w:div w:id="256986221">
      <w:bodyDiv w:val="1"/>
      <w:marLeft w:val="0"/>
      <w:marRight w:val="0"/>
      <w:marTop w:val="0"/>
      <w:marBottom w:val="0"/>
      <w:divBdr>
        <w:top w:val="none" w:sz="0" w:space="0" w:color="auto"/>
        <w:left w:val="none" w:sz="0" w:space="0" w:color="auto"/>
        <w:bottom w:val="none" w:sz="0" w:space="0" w:color="auto"/>
        <w:right w:val="none" w:sz="0" w:space="0" w:color="auto"/>
      </w:divBdr>
    </w:div>
    <w:div w:id="260837401">
      <w:bodyDiv w:val="1"/>
      <w:marLeft w:val="390"/>
      <w:marRight w:val="390"/>
      <w:marTop w:val="0"/>
      <w:marBottom w:val="0"/>
      <w:divBdr>
        <w:top w:val="none" w:sz="0" w:space="0" w:color="auto"/>
        <w:left w:val="none" w:sz="0" w:space="0" w:color="auto"/>
        <w:bottom w:val="none" w:sz="0" w:space="0" w:color="auto"/>
        <w:right w:val="none" w:sz="0" w:space="0" w:color="auto"/>
      </w:divBdr>
      <w:divsChild>
        <w:div w:id="817458454">
          <w:marLeft w:val="0"/>
          <w:marRight w:val="0"/>
          <w:marTop w:val="0"/>
          <w:marBottom w:val="0"/>
          <w:divBdr>
            <w:top w:val="none" w:sz="0" w:space="0" w:color="auto"/>
            <w:left w:val="none" w:sz="0" w:space="0" w:color="auto"/>
            <w:bottom w:val="none" w:sz="0" w:space="0" w:color="auto"/>
            <w:right w:val="none" w:sz="0" w:space="0" w:color="auto"/>
          </w:divBdr>
        </w:div>
      </w:divsChild>
    </w:div>
    <w:div w:id="278221548">
      <w:bodyDiv w:val="1"/>
      <w:marLeft w:val="0"/>
      <w:marRight w:val="0"/>
      <w:marTop w:val="0"/>
      <w:marBottom w:val="0"/>
      <w:divBdr>
        <w:top w:val="none" w:sz="0" w:space="0" w:color="auto"/>
        <w:left w:val="none" w:sz="0" w:space="0" w:color="auto"/>
        <w:bottom w:val="none" w:sz="0" w:space="0" w:color="auto"/>
        <w:right w:val="none" w:sz="0" w:space="0" w:color="auto"/>
      </w:divBdr>
    </w:div>
    <w:div w:id="300425586">
      <w:bodyDiv w:val="1"/>
      <w:marLeft w:val="0"/>
      <w:marRight w:val="0"/>
      <w:marTop w:val="0"/>
      <w:marBottom w:val="0"/>
      <w:divBdr>
        <w:top w:val="none" w:sz="0" w:space="0" w:color="auto"/>
        <w:left w:val="none" w:sz="0" w:space="0" w:color="auto"/>
        <w:bottom w:val="none" w:sz="0" w:space="0" w:color="auto"/>
        <w:right w:val="none" w:sz="0" w:space="0" w:color="auto"/>
      </w:divBdr>
    </w:div>
    <w:div w:id="308949796">
      <w:bodyDiv w:val="1"/>
      <w:marLeft w:val="0"/>
      <w:marRight w:val="0"/>
      <w:marTop w:val="0"/>
      <w:marBottom w:val="0"/>
      <w:divBdr>
        <w:top w:val="none" w:sz="0" w:space="0" w:color="auto"/>
        <w:left w:val="none" w:sz="0" w:space="0" w:color="auto"/>
        <w:bottom w:val="none" w:sz="0" w:space="0" w:color="auto"/>
        <w:right w:val="none" w:sz="0" w:space="0" w:color="auto"/>
      </w:divBdr>
    </w:div>
    <w:div w:id="322513976">
      <w:bodyDiv w:val="1"/>
      <w:marLeft w:val="0"/>
      <w:marRight w:val="0"/>
      <w:marTop w:val="0"/>
      <w:marBottom w:val="0"/>
      <w:divBdr>
        <w:top w:val="none" w:sz="0" w:space="0" w:color="auto"/>
        <w:left w:val="none" w:sz="0" w:space="0" w:color="auto"/>
        <w:bottom w:val="none" w:sz="0" w:space="0" w:color="auto"/>
        <w:right w:val="none" w:sz="0" w:space="0" w:color="auto"/>
      </w:divBdr>
    </w:div>
    <w:div w:id="325285393">
      <w:bodyDiv w:val="1"/>
      <w:marLeft w:val="0"/>
      <w:marRight w:val="0"/>
      <w:marTop w:val="0"/>
      <w:marBottom w:val="0"/>
      <w:divBdr>
        <w:top w:val="none" w:sz="0" w:space="0" w:color="auto"/>
        <w:left w:val="none" w:sz="0" w:space="0" w:color="auto"/>
        <w:bottom w:val="none" w:sz="0" w:space="0" w:color="auto"/>
        <w:right w:val="none" w:sz="0" w:space="0" w:color="auto"/>
      </w:divBdr>
    </w:div>
    <w:div w:id="328484322">
      <w:bodyDiv w:val="1"/>
      <w:marLeft w:val="0"/>
      <w:marRight w:val="0"/>
      <w:marTop w:val="0"/>
      <w:marBottom w:val="0"/>
      <w:divBdr>
        <w:top w:val="none" w:sz="0" w:space="0" w:color="auto"/>
        <w:left w:val="none" w:sz="0" w:space="0" w:color="auto"/>
        <w:bottom w:val="none" w:sz="0" w:space="0" w:color="auto"/>
        <w:right w:val="none" w:sz="0" w:space="0" w:color="auto"/>
      </w:divBdr>
    </w:div>
    <w:div w:id="334573559">
      <w:bodyDiv w:val="1"/>
      <w:marLeft w:val="0"/>
      <w:marRight w:val="0"/>
      <w:marTop w:val="0"/>
      <w:marBottom w:val="0"/>
      <w:divBdr>
        <w:top w:val="none" w:sz="0" w:space="0" w:color="auto"/>
        <w:left w:val="none" w:sz="0" w:space="0" w:color="auto"/>
        <w:bottom w:val="none" w:sz="0" w:space="0" w:color="auto"/>
        <w:right w:val="none" w:sz="0" w:space="0" w:color="auto"/>
      </w:divBdr>
    </w:div>
    <w:div w:id="343292298">
      <w:bodyDiv w:val="1"/>
      <w:marLeft w:val="0"/>
      <w:marRight w:val="0"/>
      <w:marTop w:val="0"/>
      <w:marBottom w:val="0"/>
      <w:divBdr>
        <w:top w:val="none" w:sz="0" w:space="0" w:color="auto"/>
        <w:left w:val="none" w:sz="0" w:space="0" w:color="auto"/>
        <w:bottom w:val="none" w:sz="0" w:space="0" w:color="auto"/>
        <w:right w:val="none" w:sz="0" w:space="0" w:color="auto"/>
      </w:divBdr>
    </w:div>
    <w:div w:id="362556689">
      <w:bodyDiv w:val="1"/>
      <w:marLeft w:val="0"/>
      <w:marRight w:val="0"/>
      <w:marTop w:val="0"/>
      <w:marBottom w:val="0"/>
      <w:divBdr>
        <w:top w:val="none" w:sz="0" w:space="0" w:color="auto"/>
        <w:left w:val="none" w:sz="0" w:space="0" w:color="auto"/>
        <w:bottom w:val="none" w:sz="0" w:space="0" w:color="auto"/>
        <w:right w:val="none" w:sz="0" w:space="0" w:color="auto"/>
      </w:divBdr>
    </w:div>
    <w:div w:id="369110575">
      <w:bodyDiv w:val="1"/>
      <w:marLeft w:val="0"/>
      <w:marRight w:val="0"/>
      <w:marTop w:val="0"/>
      <w:marBottom w:val="0"/>
      <w:divBdr>
        <w:top w:val="none" w:sz="0" w:space="0" w:color="auto"/>
        <w:left w:val="none" w:sz="0" w:space="0" w:color="auto"/>
        <w:bottom w:val="none" w:sz="0" w:space="0" w:color="auto"/>
        <w:right w:val="none" w:sz="0" w:space="0" w:color="auto"/>
      </w:divBdr>
    </w:div>
    <w:div w:id="382217474">
      <w:bodyDiv w:val="1"/>
      <w:marLeft w:val="0"/>
      <w:marRight w:val="0"/>
      <w:marTop w:val="0"/>
      <w:marBottom w:val="0"/>
      <w:divBdr>
        <w:top w:val="none" w:sz="0" w:space="0" w:color="auto"/>
        <w:left w:val="none" w:sz="0" w:space="0" w:color="auto"/>
        <w:bottom w:val="none" w:sz="0" w:space="0" w:color="auto"/>
        <w:right w:val="none" w:sz="0" w:space="0" w:color="auto"/>
      </w:divBdr>
    </w:div>
    <w:div w:id="405537354">
      <w:bodyDiv w:val="1"/>
      <w:marLeft w:val="0"/>
      <w:marRight w:val="0"/>
      <w:marTop w:val="0"/>
      <w:marBottom w:val="0"/>
      <w:divBdr>
        <w:top w:val="none" w:sz="0" w:space="0" w:color="auto"/>
        <w:left w:val="none" w:sz="0" w:space="0" w:color="auto"/>
        <w:bottom w:val="none" w:sz="0" w:space="0" w:color="auto"/>
        <w:right w:val="none" w:sz="0" w:space="0" w:color="auto"/>
      </w:divBdr>
    </w:div>
    <w:div w:id="409156970">
      <w:bodyDiv w:val="1"/>
      <w:marLeft w:val="0"/>
      <w:marRight w:val="0"/>
      <w:marTop w:val="0"/>
      <w:marBottom w:val="0"/>
      <w:divBdr>
        <w:top w:val="none" w:sz="0" w:space="0" w:color="auto"/>
        <w:left w:val="none" w:sz="0" w:space="0" w:color="auto"/>
        <w:bottom w:val="none" w:sz="0" w:space="0" w:color="auto"/>
        <w:right w:val="none" w:sz="0" w:space="0" w:color="auto"/>
      </w:divBdr>
    </w:div>
    <w:div w:id="442918947">
      <w:bodyDiv w:val="1"/>
      <w:marLeft w:val="0"/>
      <w:marRight w:val="0"/>
      <w:marTop w:val="0"/>
      <w:marBottom w:val="0"/>
      <w:divBdr>
        <w:top w:val="none" w:sz="0" w:space="0" w:color="auto"/>
        <w:left w:val="none" w:sz="0" w:space="0" w:color="auto"/>
        <w:bottom w:val="none" w:sz="0" w:space="0" w:color="auto"/>
        <w:right w:val="none" w:sz="0" w:space="0" w:color="auto"/>
      </w:divBdr>
    </w:div>
    <w:div w:id="464199359">
      <w:bodyDiv w:val="1"/>
      <w:marLeft w:val="0"/>
      <w:marRight w:val="0"/>
      <w:marTop w:val="0"/>
      <w:marBottom w:val="0"/>
      <w:divBdr>
        <w:top w:val="none" w:sz="0" w:space="0" w:color="auto"/>
        <w:left w:val="none" w:sz="0" w:space="0" w:color="auto"/>
        <w:bottom w:val="none" w:sz="0" w:space="0" w:color="auto"/>
        <w:right w:val="none" w:sz="0" w:space="0" w:color="auto"/>
      </w:divBdr>
    </w:div>
    <w:div w:id="481435747">
      <w:bodyDiv w:val="1"/>
      <w:marLeft w:val="0"/>
      <w:marRight w:val="0"/>
      <w:marTop w:val="0"/>
      <w:marBottom w:val="0"/>
      <w:divBdr>
        <w:top w:val="none" w:sz="0" w:space="0" w:color="auto"/>
        <w:left w:val="none" w:sz="0" w:space="0" w:color="auto"/>
        <w:bottom w:val="none" w:sz="0" w:space="0" w:color="auto"/>
        <w:right w:val="none" w:sz="0" w:space="0" w:color="auto"/>
      </w:divBdr>
    </w:div>
    <w:div w:id="483551837">
      <w:bodyDiv w:val="1"/>
      <w:marLeft w:val="0"/>
      <w:marRight w:val="0"/>
      <w:marTop w:val="0"/>
      <w:marBottom w:val="0"/>
      <w:divBdr>
        <w:top w:val="none" w:sz="0" w:space="0" w:color="auto"/>
        <w:left w:val="none" w:sz="0" w:space="0" w:color="auto"/>
        <w:bottom w:val="none" w:sz="0" w:space="0" w:color="auto"/>
        <w:right w:val="none" w:sz="0" w:space="0" w:color="auto"/>
      </w:divBdr>
    </w:div>
    <w:div w:id="498618288">
      <w:bodyDiv w:val="1"/>
      <w:marLeft w:val="0"/>
      <w:marRight w:val="0"/>
      <w:marTop w:val="0"/>
      <w:marBottom w:val="0"/>
      <w:divBdr>
        <w:top w:val="none" w:sz="0" w:space="0" w:color="auto"/>
        <w:left w:val="none" w:sz="0" w:space="0" w:color="auto"/>
        <w:bottom w:val="none" w:sz="0" w:space="0" w:color="auto"/>
        <w:right w:val="none" w:sz="0" w:space="0" w:color="auto"/>
      </w:divBdr>
    </w:div>
    <w:div w:id="507450434">
      <w:bodyDiv w:val="1"/>
      <w:marLeft w:val="0"/>
      <w:marRight w:val="0"/>
      <w:marTop w:val="0"/>
      <w:marBottom w:val="0"/>
      <w:divBdr>
        <w:top w:val="none" w:sz="0" w:space="0" w:color="auto"/>
        <w:left w:val="none" w:sz="0" w:space="0" w:color="auto"/>
        <w:bottom w:val="none" w:sz="0" w:space="0" w:color="auto"/>
        <w:right w:val="none" w:sz="0" w:space="0" w:color="auto"/>
      </w:divBdr>
    </w:div>
    <w:div w:id="524754243">
      <w:bodyDiv w:val="1"/>
      <w:marLeft w:val="0"/>
      <w:marRight w:val="0"/>
      <w:marTop w:val="0"/>
      <w:marBottom w:val="0"/>
      <w:divBdr>
        <w:top w:val="none" w:sz="0" w:space="0" w:color="auto"/>
        <w:left w:val="none" w:sz="0" w:space="0" w:color="auto"/>
        <w:bottom w:val="none" w:sz="0" w:space="0" w:color="auto"/>
        <w:right w:val="none" w:sz="0" w:space="0" w:color="auto"/>
      </w:divBdr>
    </w:div>
    <w:div w:id="544679275">
      <w:bodyDiv w:val="1"/>
      <w:marLeft w:val="0"/>
      <w:marRight w:val="0"/>
      <w:marTop w:val="0"/>
      <w:marBottom w:val="0"/>
      <w:divBdr>
        <w:top w:val="none" w:sz="0" w:space="0" w:color="auto"/>
        <w:left w:val="none" w:sz="0" w:space="0" w:color="auto"/>
        <w:bottom w:val="none" w:sz="0" w:space="0" w:color="auto"/>
        <w:right w:val="none" w:sz="0" w:space="0" w:color="auto"/>
      </w:divBdr>
    </w:div>
    <w:div w:id="550846563">
      <w:bodyDiv w:val="1"/>
      <w:marLeft w:val="0"/>
      <w:marRight w:val="0"/>
      <w:marTop w:val="0"/>
      <w:marBottom w:val="0"/>
      <w:divBdr>
        <w:top w:val="none" w:sz="0" w:space="0" w:color="auto"/>
        <w:left w:val="none" w:sz="0" w:space="0" w:color="auto"/>
        <w:bottom w:val="none" w:sz="0" w:space="0" w:color="auto"/>
        <w:right w:val="none" w:sz="0" w:space="0" w:color="auto"/>
      </w:divBdr>
    </w:div>
    <w:div w:id="554242429">
      <w:bodyDiv w:val="1"/>
      <w:marLeft w:val="0"/>
      <w:marRight w:val="0"/>
      <w:marTop w:val="0"/>
      <w:marBottom w:val="0"/>
      <w:divBdr>
        <w:top w:val="none" w:sz="0" w:space="0" w:color="auto"/>
        <w:left w:val="none" w:sz="0" w:space="0" w:color="auto"/>
        <w:bottom w:val="none" w:sz="0" w:space="0" w:color="auto"/>
        <w:right w:val="none" w:sz="0" w:space="0" w:color="auto"/>
      </w:divBdr>
    </w:div>
    <w:div w:id="572198330">
      <w:bodyDiv w:val="1"/>
      <w:marLeft w:val="0"/>
      <w:marRight w:val="0"/>
      <w:marTop w:val="0"/>
      <w:marBottom w:val="0"/>
      <w:divBdr>
        <w:top w:val="none" w:sz="0" w:space="0" w:color="auto"/>
        <w:left w:val="none" w:sz="0" w:space="0" w:color="auto"/>
        <w:bottom w:val="none" w:sz="0" w:space="0" w:color="auto"/>
        <w:right w:val="none" w:sz="0" w:space="0" w:color="auto"/>
      </w:divBdr>
    </w:div>
    <w:div w:id="573970984">
      <w:bodyDiv w:val="1"/>
      <w:marLeft w:val="0"/>
      <w:marRight w:val="0"/>
      <w:marTop w:val="0"/>
      <w:marBottom w:val="0"/>
      <w:divBdr>
        <w:top w:val="none" w:sz="0" w:space="0" w:color="auto"/>
        <w:left w:val="none" w:sz="0" w:space="0" w:color="auto"/>
        <w:bottom w:val="none" w:sz="0" w:space="0" w:color="auto"/>
        <w:right w:val="none" w:sz="0" w:space="0" w:color="auto"/>
      </w:divBdr>
    </w:div>
    <w:div w:id="588779511">
      <w:bodyDiv w:val="1"/>
      <w:marLeft w:val="0"/>
      <w:marRight w:val="0"/>
      <w:marTop w:val="0"/>
      <w:marBottom w:val="0"/>
      <w:divBdr>
        <w:top w:val="none" w:sz="0" w:space="0" w:color="auto"/>
        <w:left w:val="none" w:sz="0" w:space="0" w:color="auto"/>
        <w:bottom w:val="none" w:sz="0" w:space="0" w:color="auto"/>
        <w:right w:val="none" w:sz="0" w:space="0" w:color="auto"/>
      </w:divBdr>
    </w:div>
    <w:div w:id="603809659">
      <w:bodyDiv w:val="1"/>
      <w:marLeft w:val="0"/>
      <w:marRight w:val="0"/>
      <w:marTop w:val="0"/>
      <w:marBottom w:val="0"/>
      <w:divBdr>
        <w:top w:val="none" w:sz="0" w:space="0" w:color="auto"/>
        <w:left w:val="none" w:sz="0" w:space="0" w:color="auto"/>
        <w:bottom w:val="none" w:sz="0" w:space="0" w:color="auto"/>
        <w:right w:val="none" w:sz="0" w:space="0" w:color="auto"/>
      </w:divBdr>
    </w:div>
    <w:div w:id="606233988">
      <w:bodyDiv w:val="1"/>
      <w:marLeft w:val="0"/>
      <w:marRight w:val="0"/>
      <w:marTop w:val="0"/>
      <w:marBottom w:val="0"/>
      <w:divBdr>
        <w:top w:val="none" w:sz="0" w:space="0" w:color="auto"/>
        <w:left w:val="none" w:sz="0" w:space="0" w:color="auto"/>
        <w:bottom w:val="none" w:sz="0" w:space="0" w:color="auto"/>
        <w:right w:val="none" w:sz="0" w:space="0" w:color="auto"/>
      </w:divBdr>
    </w:div>
    <w:div w:id="610861381">
      <w:bodyDiv w:val="1"/>
      <w:marLeft w:val="0"/>
      <w:marRight w:val="0"/>
      <w:marTop w:val="0"/>
      <w:marBottom w:val="0"/>
      <w:divBdr>
        <w:top w:val="none" w:sz="0" w:space="0" w:color="auto"/>
        <w:left w:val="none" w:sz="0" w:space="0" w:color="auto"/>
        <w:bottom w:val="none" w:sz="0" w:space="0" w:color="auto"/>
        <w:right w:val="none" w:sz="0" w:space="0" w:color="auto"/>
      </w:divBdr>
    </w:div>
    <w:div w:id="620575216">
      <w:bodyDiv w:val="1"/>
      <w:marLeft w:val="390"/>
      <w:marRight w:val="390"/>
      <w:marTop w:val="0"/>
      <w:marBottom w:val="0"/>
      <w:divBdr>
        <w:top w:val="none" w:sz="0" w:space="0" w:color="auto"/>
        <w:left w:val="none" w:sz="0" w:space="0" w:color="auto"/>
        <w:bottom w:val="none" w:sz="0" w:space="0" w:color="auto"/>
        <w:right w:val="none" w:sz="0" w:space="0" w:color="auto"/>
      </w:divBdr>
      <w:divsChild>
        <w:div w:id="308705209">
          <w:marLeft w:val="0"/>
          <w:marRight w:val="0"/>
          <w:marTop w:val="0"/>
          <w:marBottom w:val="0"/>
          <w:divBdr>
            <w:top w:val="none" w:sz="0" w:space="0" w:color="auto"/>
            <w:left w:val="none" w:sz="0" w:space="0" w:color="auto"/>
            <w:bottom w:val="none" w:sz="0" w:space="0" w:color="auto"/>
            <w:right w:val="none" w:sz="0" w:space="0" w:color="auto"/>
          </w:divBdr>
        </w:div>
      </w:divsChild>
    </w:div>
    <w:div w:id="627979290">
      <w:bodyDiv w:val="1"/>
      <w:marLeft w:val="0"/>
      <w:marRight w:val="0"/>
      <w:marTop w:val="0"/>
      <w:marBottom w:val="0"/>
      <w:divBdr>
        <w:top w:val="none" w:sz="0" w:space="0" w:color="auto"/>
        <w:left w:val="none" w:sz="0" w:space="0" w:color="auto"/>
        <w:bottom w:val="none" w:sz="0" w:space="0" w:color="auto"/>
        <w:right w:val="none" w:sz="0" w:space="0" w:color="auto"/>
      </w:divBdr>
    </w:div>
    <w:div w:id="629556624">
      <w:bodyDiv w:val="1"/>
      <w:marLeft w:val="0"/>
      <w:marRight w:val="0"/>
      <w:marTop w:val="0"/>
      <w:marBottom w:val="0"/>
      <w:divBdr>
        <w:top w:val="none" w:sz="0" w:space="0" w:color="auto"/>
        <w:left w:val="none" w:sz="0" w:space="0" w:color="auto"/>
        <w:bottom w:val="none" w:sz="0" w:space="0" w:color="auto"/>
        <w:right w:val="none" w:sz="0" w:space="0" w:color="auto"/>
      </w:divBdr>
    </w:div>
    <w:div w:id="637297867">
      <w:bodyDiv w:val="1"/>
      <w:marLeft w:val="0"/>
      <w:marRight w:val="0"/>
      <w:marTop w:val="0"/>
      <w:marBottom w:val="0"/>
      <w:divBdr>
        <w:top w:val="none" w:sz="0" w:space="0" w:color="auto"/>
        <w:left w:val="none" w:sz="0" w:space="0" w:color="auto"/>
        <w:bottom w:val="none" w:sz="0" w:space="0" w:color="auto"/>
        <w:right w:val="none" w:sz="0" w:space="0" w:color="auto"/>
      </w:divBdr>
    </w:div>
    <w:div w:id="637299580">
      <w:bodyDiv w:val="1"/>
      <w:marLeft w:val="0"/>
      <w:marRight w:val="0"/>
      <w:marTop w:val="0"/>
      <w:marBottom w:val="0"/>
      <w:divBdr>
        <w:top w:val="none" w:sz="0" w:space="0" w:color="auto"/>
        <w:left w:val="none" w:sz="0" w:space="0" w:color="auto"/>
        <w:bottom w:val="none" w:sz="0" w:space="0" w:color="auto"/>
        <w:right w:val="none" w:sz="0" w:space="0" w:color="auto"/>
      </w:divBdr>
    </w:div>
    <w:div w:id="638926470">
      <w:bodyDiv w:val="1"/>
      <w:marLeft w:val="0"/>
      <w:marRight w:val="0"/>
      <w:marTop w:val="0"/>
      <w:marBottom w:val="0"/>
      <w:divBdr>
        <w:top w:val="none" w:sz="0" w:space="0" w:color="auto"/>
        <w:left w:val="none" w:sz="0" w:space="0" w:color="auto"/>
        <w:bottom w:val="none" w:sz="0" w:space="0" w:color="auto"/>
        <w:right w:val="none" w:sz="0" w:space="0" w:color="auto"/>
      </w:divBdr>
    </w:div>
    <w:div w:id="639458841">
      <w:bodyDiv w:val="1"/>
      <w:marLeft w:val="0"/>
      <w:marRight w:val="0"/>
      <w:marTop w:val="0"/>
      <w:marBottom w:val="0"/>
      <w:divBdr>
        <w:top w:val="none" w:sz="0" w:space="0" w:color="auto"/>
        <w:left w:val="none" w:sz="0" w:space="0" w:color="auto"/>
        <w:bottom w:val="none" w:sz="0" w:space="0" w:color="auto"/>
        <w:right w:val="none" w:sz="0" w:space="0" w:color="auto"/>
      </w:divBdr>
    </w:div>
    <w:div w:id="649404990">
      <w:bodyDiv w:val="1"/>
      <w:marLeft w:val="0"/>
      <w:marRight w:val="0"/>
      <w:marTop w:val="0"/>
      <w:marBottom w:val="0"/>
      <w:divBdr>
        <w:top w:val="none" w:sz="0" w:space="0" w:color="auto"/>
        <w:left w:val="none" w:sz="0" w:space="0" w:color="auto"/>
        <w:bottom w:val="none" w:sz="0" w:space="0" w:color="auto"/>
        <w:right w:val="none" w:sz="0" w:space="0" w:color="auto"/>
      </w:divBdr>
    </w:div>
    <w:div w:id="651981753">
      <w:bodyDiv w:val="1"/>
      <w:marLeft w:val="0"/>
      <w:marRight w:val="0"/>
      <w:marTop w:val="0"/>
      <w:marBottom w:val="0"/>
      <w:divBdr>
        <w:top w:val="none" w:sz="0" w:space="0" w:color="auto"/>
        <w:left w:val="none" w:sz="0" w:space="0" w:color="auto"/>
        <w:bottom w:val="none" w:sz="0" w:space="0" w:color="auto"/>
        <w:right w:val="none" w:sz="0" w:space="0" w:color="auto"/>
      </w:divBdr>
    </w:div>
    <w:div w:id="654263282">
      <w:bodyDiv w:val="1"/>
      <w:marLeft w:val="0"/>
      <w:marRight w:val="0"/>
      <w:marTop w:val="0"/>
      <w:marBottom w:val="0"/>
      <w:divBdr>
        <w:top w:val="none" w:sz="0" w:space="0" w:color="auto"/>
        <w:left w:val="none" w:sz="0" w:space="0" w:color="auto"/>
        <w:bottom w:val="none" w:sz="0" w:space="0" w:color="auto"/>
        <w:right w:val="none" w:sz="0" w:space="0" w:color="auto"/>
      </w:divBdr>
    </w:div>
    <w:div w:id="662971146">
      <w:bodyDiv w:val="1"/>
      <w:marLeft w:val="0"/>
      <w:marRight w:val="0"/>
      <w:marTop w:val="0"/>
      <w:marBottom w:val="0"/>
      <w:divBdr>
        <w:top w:val="none" w:sz="0" w:space="0" w:color="auto"/>
        <w:left w:val="none" w:sz="0" w:space="0" w:color="auto"/>
        <w:bottom w:val="none" w:sz="0" w:space="0" w:color="auto"/>
        <w:right w:val="none" w:sz="0" w:space="0" w:color="auto"/>
      </w:divBdr>
    </w:div>
    <w:div w:id="679701345">
      <w:bodyDiv w:val="1"/>
      <w:marLeft w:val="0"/>
      <w:marRight w:val="0"/>
      <w:marTop w:val="0"/>
      <w:marBottom w:val="0"/>
      <w:divBdr>
        <w:top w:val="none" w:sz="0" w:space="0" w:color="auto"/>
        <w:left w:val="none" w:sz="0" w:space="0" w:color="auto"/>
        <w:bottom w:val="none" w:sz="0" w:space="0" w:color="auto"/>
        <w:right w:val="none" w:sz="0" w:space="0" w:color="auto"/>
      </w:divBdr>
    </w:div>
    <w:div w:id="685013211">
      <w:bodyDiv w:val="1"/>
      <w:marLeft w:val="0"/>
      <w:marRight w:val="0"/>
      <w:marTop w:val="0"/>
      <w:marBottom w:val="0"/>
      <w:divBdr>
        <w:top w:val="none" w:sz="0" w:space="0" w:color="auto"/>
        <w:left w:val="none" w:sz="0" w:space="0" w:color="auto"/>
        <w:bottom w:val="none" w:sz="0" w:space="0" w:color="auto"/>
        <w:right w:val="none" w:sz="0" w:space="0" w:color="auto"/>
      </w:divBdr>
    </w:div>
    <w:div w:id="716004672">
      <w:bodyDiv w:val="1"/>
      <w:marLeft w:val="0"/>
      <w:marRight w:val="0"/>
      <w:marTop w:val="0"/>
      <w:marBottom w:val="0"/>
      <w:divBdr>
        <w:top w:val="none" w:sz="0" w:space="0" w:color="auto"/>
        <w:left w:val="none" w:sz="0" w:space="0" w:color="auto"/>
        <w:bottom w:val="none" w:sz="0" w:space="0" w:color="auto"/>
        <w:right w:val="none" w:sz="0" w:space="0" w:color="auto"/>
      </w:divBdr>
    </w:div>
    <w:div w:id="728725854">
      <w:bodyDiv w:val="1"/>
      <w:marLeft w:val="0"/>
      <w:marRight w:val="0"/>
      <w:marTop w:val="0"/>
      <w:marBottom w:val="0"/>
      <w:divBdr>
        <w:top w:val="none" w:sz="0" w:space="0" w:color="auto"/>
        <w:left w:val="none" w:sz="0" w:space="0" w:color="auto"/>
        <w:bottom w:val="none" w:sz="0" w:space="0" w:color="auto"/>
        <w:right w:val="none" w:sz="0" w:space="0" w:color="auto"/>
      </w:divBdr>
    </w:div>
    <w:div w:id="746197274">
      <w:bodyDiv w:val="1"/>
      <w:marLeft w:val="0"/>
      <w:marRight w:val="0"/>
      <w:marTop w:val="0"/>
      <w:marBottom w:val="0"/>
      <w:divBdr>
        <w:top w:val="none" w:sz="0" w:space="0" w:color="auto"/>
        <w:left w:val="none" w:sz="0" w:space="0" w:color="auto"/>
        <w:bottom w:val="none" w:sz="0" w:space="0" w:color="auto"/>
        <w:right w:val="none" w:sz="0" w:space="0" w:color="auto"/>
      </w:divBdr>
    </w:div>
    <w:div w:id="749011979">
      <w:bodyDiv w:val="1"/>
      <w:marLeft w:val="0"/>
      <w:marRight w:val="0"/>
      <w:marTop w:val="0"/>
      <w:marBottom w:val="0"/>
      <w:divBdr>
        <w:top w:val="none" w:sz="0" w:space="0" w:color="auto"/>
        <w:left w:val="none" w:sz="0" w:space="0" w:color="auto"/>
        <w:bottom w:val="none" w:sz="0" w:space="0" w:color="auto"/>
        <w:right w:val="none" w:sz="0" w:space="0" w:color="auto"/>
      </w:divBdr>
    </w:div>
    <w:div w:id="766583848">
      <w:bodyDiv w:val="1"/>
      <w:marLeft w:val="0"/>
      <w:marRight w:val="0"/>
      <w:marTop w:val="0"/>
      <w:marBottom w:val="0"/>
      <w:divBdr>
        <w:top w:val="none" w:sz="0" w:space="0" w:color="auto"/>
        <w:left w:val="none" w:sz="0" w:space="0" w:color="auto"/>
        <w:bottom w:val="none" w:sz="0" w:space="0" w:color="auto"/>
        <w:right w:val="none" w:sz="0" w:space="0" w:color="auto"/>
      </w:divBdr>
    </w:div>
    <w:div w:id="768236008">
      <w:bodyDiv w:val="1"/>
      <w:marLeft w:val="0"/>
      <w:marRight w:val="0"/>
      <w:marTop w:val="0"/>
      <w:marBottom w:val="0"/>
      <w:divBdr>
        <w:top w:val="none" w:sz="0" w:space="0" w:color="auto"/>
        <w:left w:val="none" w:sz="0" w:space="0" w:color="auto"/>
        <w:bottom w:val="none" w:sz="0" w:space="0" w:color="auto"/>
        <w:right w:val="none" w:sz="0" w:space="0" w:color="auto"/>
      </w:divBdr>
    </w:div>
    <w:div w:id="814880185">
      <w:bodyDiv w:val="1"/>
      <w:marLeft w:val="0"/>
      <w:marRight w:val="0"/>
      <w:marTop w:val="0"/>
      <w:marBottom w:val="0"/>
      <w:divBdr>
        <w:top w:val="none" w:sz="0" w:space="0" w:color="auto"/>
        <w:left w:val="none" w:sz="0" w:space="0" w:color="auto"/>
        <w:bottom w:val="none" w:sz="0" w:space="0" w:color="auto"/>
        <w:right w:val="none" w:sz="0" w:space="0" w:color="auto"/>
      </w:divBdr>
    </w:div>
    <w:div w:id="826672556">
      <w:bodyDiv w:val="1"/>
      <w:marLeft w:val="0"/>
      <w:marRight w:val="0"/>
      <w:marTop w:val="0"/>
      <w:marBottom w:val="0"/>
      <w:divBdr>
        <w:top w:val="none" w:sz="0" w:space="0" w:color="auto"/>
        <w:left w:val="none" w:sz="0" w:space="0" w:color="auto"/>
        <w:bottom w:val="none" w:sz="0" w:space="0" w:color="auto"/>
        <w:right w:val="none" w:sz="0" w:space="0" w:color="auto"/>
      </w:divBdr>
    </w:div>
    <w:div w:id="829948099">
      <w:bodyDiv w:val="1"/>
      <w:marLeft w:val="0"/>
      <w:marRight w:val="0"/>
      <w:marTop w:val="0"/>
      <w:marBottom w:val="0"/>
      <w:divBdr>
        <w:top w:val="none" w:sz="0" w:space="0" w:color="auto"/>
        <w:left w:val="none" w:sz="0" w:space="0" w:color="auto"/>
        <w:bottom w:val="none" w:sz="0" w:space="0" w:color="auto"/>
        <w:right w:val="none" w:sz="0" w:space="0" w:color="auto"/>
      </w:divBdr>
    </w:div>
    <w:div w:id="835993383">
      <w:bodyDiv w:val="1"/>
      <w:marLeft w:val="0"/>
      <w:marRight w:val="0"/>
      <w:marTop w:val="0"/>
      <w:marBottom w:val="0"/>
      <w:divBdr>
        <w:top w:val="none" w:sz="0" w:space="0" w:color="auto"/>
        <w:left w:val="none" w:sz="0" w:space="0" w:color="auto"/>
        <w:bottom w:val="none" w:sz="0" w:space="0" w:color="auto"/>
        <w:right w:val="none" w:sz="0" w:space="0" w:color="auto"/>
      </w:divBdr>
    </w:div>
    <w:div w:id="847598720">
      <w:bodyDiv w:val="1"/>
      <w:marLeft w:val="0"/>
      <w:marRight w:val="0"/>
      <w:marTop w:val="0"/>
      <w:marBottom w:val="0"/>
      <w:divBdr>
        <w:top w:val="none" w:sz="0" w:space="0" w:color="auto"/>
        <w:left w:val="none" w:sz="0" w:space="0" w:color="auto"/>
        <w:bottom w:val="none" w:sz="0" w:space="0" w:color="auto"/>
        <w:right w:val="none" w:sz="0" w:space="0" w:color="auto"/>
      </w:divBdr>
    </w:div>
    <w:div w:id="848182256">
      <w:bodyDiv w:val="1"/>
      <w:marLeft w:val="0"/>
      <w:marRight w:val="0"/>
      <w:marTop w:val="0"/>
      <w:marBottom w:val="0"/>
      <w:divBdr>
        <w:top w:val="none" w:sz="0" w:space="0" w:color="auto"/>
        <w:left w:val="none" w:sz="0" w:space="0" w:color="auto"/>
        <w:bottom w:val="none" w:sz="0" w:space="0" w:color="auto"/>
        <w:right w:val="none" w:sz="0" w:space="0" w:color="auto"/>
      </w:divBdr>
    </w:div>
    <w:div w:id="866597013">
      <w:bodyDiv w:val="1"/>
      <w:marLeft w:val="0"/>
      <w:marRight w:val="0"/>
      <w:marTop w:val="0"/>
      <w:marBottom w:val="0"/>
      <w:divBdr>
        <w:top w:val="none" w:sz="0" w:space="0" w:color="auto"/>
        <w:left w:val="none" w:sz="0" w:space="0" w:color="auto"/>
        <w:bottom w:val="none" w:sz="0" w:space="0" w:color="auto"/>
        <w:right w:val="none" w:sz="0" w:space="0" w:color="auto"/>
      </w:divBdr>
    </w:div>
    <w:div w:id="867526621">
      <w:bodyDiv w:val="1"/>
      <w:marLeft w:val="0"/>
      <w:marRight w:val="0"/>
      <w:marTop w:val="0"/>
      <w:marBottom w:val="0"/>
      <w:divBdr>
        <w:top w:val="none" w:sz="0" w:space="0" w:color="auto"/>
        <w:left w:val="none" w:sz="0" w:space="0" w:color="auto"/>
        <w:bottom w:val="none" w:sz="0" w:space="0" w:color="auto"/>
        <w:right w:val="none" w:sz="0" w:space="0" w:color="auto"/>
      </w:divBdr>
    </w:div>
    <w:div w:id="883516690">
      <w:bodyDiv w:val="1"/>
      <w:marLeft w:val="0"/>
      <w:marRight w:val="0"/>
      <w:marTop w:val="0"/>
      <w:marBottom w:val="0"/>
      <w:divBdr>
        <w:top w:val="none" w:sz="0" w:space="0" w:color="auto"/>
        <w:left w:val="none" w:sz="0" w:space="0" w:color="auto"/>
        <w:bottom w:val="none" w:sz="0" w:space="0" w:color="auto"/>
        <w:right w:val="none" w:sz="0" w:space="0" w:color="auto"/>
      </w:divBdr>
    </w:div>
    <w:div w:id="892230196">
      <w:bodyDiv w:val="1"/>
      <w:marLeft w:val="0"/>
      <w:marRight w:val="0"/>
      <w:marTop w:val="0"/>
      <w:marBottom w:val="0"/>
      <w:divBdr>
        <w:top w:val="none" w:sz="0" w:space="0" w:color="auto"/>
        <w:left w:val="none" w:sz="0" w:space="0" w:color="auto"/>
        <w:bottom w:val="none" w:sz="0" w:space="0" w:color="auto"/>
        <w:right w:val="none" w:sz="0" w:space="0" w:color="auto"/>
      </w:divBdr>
    </w:div>
    <w:div w:id="893468901">
      <w:bodyDiv w:val="1"/>
      <w:marLeft w:val="0"/>
      <w:marRight w:val="0"/>
      <w:marTop w:val="0"/>
      <w:marBottom w:val="0"/>
      <w:divBdr>
        <w:top w:val="none" w:sz="0" w:space="0" w:color="auto"/>
        <w:left w:val="none" w:sz="0" w:space="0" w:color="auto"/>
        <w:bottom w:val="none" w:sz="0" w:space="0" w:color="auto"/>
        <w:right w:val="none" w:sz="0" w:space="0" w:color="auto"/>
      </w:divBdr>
    </w:div>
    <w:div w:id="904923188">
      <w:bodyDiv w:val="1"/>
      <w:marLeft w:val="0"/>
      <w:marRight w:val="0"/>
      <w:marTop w:val="0"/>
      <w:marBottom w:val="0"/>
      <w:divBdr>
        <w:top w:val="none" w:sz="0" w:space="0" w:color="auto"/>
        <w:left w:val="none" w:sz="0" w:space="0" w:color="auto"/>
        <w:bottom w:val="none" w:sz="0" w:space="0" w:color="auto"/>
        <w:right w:val="none" w:sz="0" w:space="0" w:color="auto"/>
      </w:divBdr>
    </w:div>
    <w:div w:id="904989598">
      <w:bodyDiv w:val="1"/>
      <w:marLeft w:val="0"/>
      <w:marRight w:val="0"/>
      <w:marTop w:val="0"/>
      <w:marBottom w:val="0"/>
      <w:divBdr>
        <w:top w:val="none" w:sz="0" w:space="0" w:color="auto"/>
        <w:left w:val="none" w:sz="0" w:space="0" w:color="auto"/>
        <w:bottom w:val="none" w:sz="0" w:space="0" w:color="auto"/>
        <w:right w:val="none" w:sz="0" w:space="0" w:color="auto"/>
      </w:divBdr>
    </w:div>
    <w:div w:id="910575864">
      <w:bodyDiv w:val="1"/>
      <w:marLeft w:val="0"/>
      <w:marRight w:val="0"/>
      <w:marTop w:val="0"/>
      <w:marBottom w:val="0"/>
      <w:divBdr>
        <w:top w:val="none" w:sz="0" w:space="0" w:color="auto"/>
        <w:left w:val="none" w:sz="0" w:space="0" w:color="auto"/>
        <w:bottom w:val="none" w:sz="0" w:space="0" w:color="auto"/>
        <w:right w:val="none" w:sz="0" w:space="0" w:color="auto"/>
      </w:divBdr>
    </w:div>
    <w:div w:id="925844007">
      <w:bodyDiv w:val="1"/>
      <w:marLeft w:val="0"/>
      <w:marRight w:val="0"/>
      <w:marTop w:val="0"/>
      <w:marBottom w:val="0"/>
      <w:divBdr>
        <w:top w:val="none" w:sz="0" w:space="0" w:color="auto"/>
        <w:left w:val="none" w:sz="0" w:space="0" w:color="auto"/>
        <w:bottom w:val="none" w:sz="0" w:space="0" w:color="auto"/>
        <w:right w:val="none" w:sz="0" w:space="0" w:color="auto"/>
      </w:divBdr>
    </w:div>
    <w:div w:id="951471701">
      <w:bodyDiv w:val="1"/>
      <w:marLeft w:val="0"/>
      <w:marRight w:val="0"/>
      <w:marTop w:val="0"/>
      <w:marBottom w:val="0"/>
      <w:divBdr>
        <w:top w:val="none" w:sz="0" w:space="0" w:color="auto"/>
        <w:left w:val="none" w:sz="0" w:space="0" w:color="auto"/>
        <w:bottom w:val="none" w:sz="0" w:space="0" w:color="auto"/>
        <w:right w:val="none" w:sz="0" w:space="0" w:color="auto"/>
      </w:divBdr>
    </w:div>
    <w:div w:id="955142557">
      <w:bodyDiv w:val="1"/>
      <w:marLeft w:val="0"/>
      <w:marRight w:val="0"/>
      <w:marTop w:val="0"/>
      <w:marBottom w:val="0"/>
      <w:divBdr>
        <w:top w:val="none" w:sz="0" w:space="0" w:color="auto"/>
        <w:left w:val="none" w:sz="0" w:space="0" w:color="auto"/>
        <w:bottom w:val="none" w:sz="0" w:space="0" w:color="auto"/>
        <w:right w:val="none" w:sz="0" w:space="0" w:color="auto"/>
      </w:divBdr>
    </w:div>
    <w:div w:id="957642732">
      <w:bodyDiv w:val="1"/>
      <w:marLeft w:val="0"/>
      <w:marRight w:val="0"/>
      <w:marTop w:val="0"/>
      <w:marBottom w:val="0"/>
      <w:divBdr>
        <w:top w:val="none" w:sz="0" w:space="0" w:color="auto"/>
        <w:left w:val="none" w:sz="0" w:space="0" w:color="auto"/>
        <w:bottom w:val="none" w:sz="0" w:space="0" w:color="auto"/>
        <w:right w:val="none" w:sz="0" w:space="0" w:color="auto"/>
      </w:divBdr>
    </w:div>
    <w:div w:id="974678567">
      <w:bodyDiv w:val="1"/>
      <w:marLeft w:val="0"/>
      <w:marRight w:val="0"/>
      <w:marTop w:val="0"/>
      <w:marBottom w:val="0"/>
      <w:divBdr>
        <w:top w:val="none" w:sz="0" w:space="0" w:color="auto"/>
        <w:left w:val="none" w:sz="0" w:space="0" w:color="auto"/>
        <w:bottom w:val="none" w:sz="0" w:space="0" w:color="auto"/>
        <w:right w:val="none" w:sz="0" w:space="0" w:color="auto"/>
      </w:divBdr>
    </w:div>
    <w:div w:id="983969505">
      <w:bodyDiv w:val="1"/>
      <w:marLeft w:val="0"/>
      <w:marRight w:val="0"/>
      <w:marTop w:val="0"/>
      <w:marBottom w:val="0"/>
      <w:divBdr>
        <w:top w:val="none" w:sz="0" w:space="0" w:color="auto"/>
        <w:left w:val="none" w:sz="0" w:space="0" w:color="auto"/>
        <w:bottom w:val="none" w:sz="0" w:space="0" w:color="auto"/>
        <w:right w:val="none" w:sz="0" w:space="0" w:color="auto"/>
      </w:divBdr>
    </w:div>
    <w:div w:id="1013726457">
      <w:bodyDiv w:val="1"/>
      <w:marLeft w:val="0"/>
      <w:marRight w:val="0"/>
      <w:marTop w:val="0"/>
      <w:marBottom w:val="0"/>
      <w:divBdr>
        <w:top w:val="none" w:sz="0" w:space="0" w:color="auto"/>
        <w:left w:val="none" w:sz="0" w:space="0" w:color="auto"/>
        <w:bottom w:val="none" w:sz="0" w:space="0" w:color="auto"/>
        <w:right w:val="none" w:sz="0" w:space="0" w:color="auto"/>
      </w:divBdr>
    </w:div>
    <w:div w:id="1093279317">
      <w:bodyDiv w:val="1"/>
      <w:marLeft w:val="0"/>
      <w:marRight w:val="0"/>
      <w:marTop w:val="0"/>
      <w:marBottom w:val="0"/>
      <w:divBdr>
        <w:top w:val="none" w:sz="0" w:space="0" w:color="auto"/>
        <w:left w:val="none" w:sz="0" w:space="0" w:color="auto"/>
        <w:bottom w:val="none" w:sz="0" w:space="0" w:color="auto"/>
        <w:right w:val="none" w:sz="0" w:space="0" w:color="auto"/>
      </w:divBdr>
    </w:div>
    <w:div w:id="1107888651">
      <w:bodyDiv w:val="1"/>
      <w:marLeft w:val="0"/>
      <w:marRight w:val="0"/>
      <w:marTop w:val="0"/>
      <w:marBottom w:val="0"/>
      <w:divBdr>
        <w:top w:val="none" w:sz="0" w:space="0" w:color="auto"/>
        <w:left w:val="none" w:sz="0" w:space="0" w:color="auto"/>
        <w:bottom w:val="none" w:sz="0" w:space="0" w:color="auto"/>
        <w:right w:val="none" w:sz="0" w:space="0" w:color="auto"/>
      </w:divBdr>
    </w:div>
    <w:div w:id="1107889199">
      <w:bodyDiv w:val="1"/>
      <w:marLeft w:val="0"/>
      <w:marRight w:val="0"/>
      <w:marTop w:val="0"/>
      <w:marBottom w:val="0"/>
      <w:divBdr>
        <w:top w:val="none" w:sz="0" w:space="0" w:color="auto"/>
        <w:left w:val="none" w:sz="0" w:space="0" w:color="auto"/>
        <w:bottom w:val="none" w:sz="0" w:space="0" w:color="auto"/>
        <w:right w:val="none" w:sz="0" w:space="0" w:color="auto"/>
      </w:divBdr>
    </w:div>
    <w:div w:id="1116676020">
      <w:bodyDiv w:val="1"/>
      <w:marLeft w:val="0"/>
      <w:marRight w:val="0"/>
      <w:marTop w:val="0"/>
      <w:marBottom w:val="0"/>
      <w:divBdr>
        <w:top w:val="none" w:sz="0" w:space="0" w:color="auto"/>
        <w:left w:val="none" w:sz="0" w:space="0" w:color="auto"/>
        <w:bottom w:val="none" w:sz="0" w:space="0" w:color="auto"/>
        <w:right w:val="none" w:sz="0" w:space="0" w:color="auto"/>
      </w:divBdr>
    </w:div>
    <w:div w:id="1124153415">
      <w:bodyDiv w:val="1"/>
      <w:marLeft w:val="0"/>
      <w:marRight w:val="0"/>
      <w:marTop w:val="0"/>
      <w:marBottom w:val="0"/>
      <w:divBdr>
        <w:top w:val="none" w:sz="0" w:space="0" w:color="auto"/>
        <w:left w:val="none" w:sz="0" w:space="0" w:color="auto"/>
        <w:bottom w:val="none" w:sz="0" w:space="0" w:color="auto"/>
        <w:right w:val="none" w:sz="0" w:space="0" w:color="auto"/>
      </w:divBdr>
    </w:div>
    <w:div w:id="1130591492">
      <w:bodyDiv w:val="1"/>
      <w:marLeft w:val="0"/>
      <w:marRight w:val="0"/>
      <w:marTop w:val="0"/>
      <w:marBottom w:val="0"/>
      <w:divBdr>
        <w:top w:val="none" w:sz="0" w:space="0" w:color="auto"/>
        <w:left w:val="none" w:sz="0" w:space="0" w:color="auto"/>
        <w:bottom w:val="none" w:sz="0" w:space="0" w:color="auto"/>
        <w:right w:val="none" w:sz="0" w:space="0" w:color="auto"/>
      </w:divBdr>
    </w:div>
    <w:div w:id="1136219394">
      <w:bodyDiv w:val="1"/>
      <w:marLeft w:val="0"/>
      <w:marRight w:val="0"/>
      <w:marTop w:val="0"/>
      <w:marBottom w:val="0"/>
      <w:divBdr>
        <w:top w:val="none" w:sz="0" w:space="0" w:color="auto"/>
        <w:left w:val="none" w:sz="0" w:space="0" w:color="auto"/>
        <w:bottom w:val="none" w:sz="0" w:space="0" w:color="auto"/>
        <w:right w:val="none" w:sz="0" w:space="0" w:color="auto"/>
      </w:divBdr>
    </w:div>
    <w:div w:id="1150171777">
      <w:bodyDiv w:val="1"/>
      <w:marLeft w:val="0"/>
      <w:marRight w:val="0"/>
      <w:marTop w:val="0"/>
      <w:marBottom w:val="0"/>
      <w:divBdr>
        <w:top w:val="none" w:sz="0" w:space="0" w:color="auto"/>
        <w:left w:val="none" w:sz="0" w:space="0" w:color="auto"/>
        <w:bottom w:val="none" w:sz="0" w:space="0" w:color="auto"/>
        <w:right w:val="none" w:sz="0" w:space="0" w:color="auto"/>
      </w:divBdr>
    </w:div>
    <w:div w:id="1151870379">
      <w:bodyDiv w:val="1"/>
      <w:marLeft w:val="0"/>
      <w:marRight w:val="0"/>
      <w:marTop w:val="0"/>
      <w:marBottom w:val="0"/>
      <w:divBdr>
        <w:top w:val="none" w:sz="0" w:space="0" w:color="auto"/>
        <w:left w:val="none" w:sz="0" w:space="0" w:color="auto"/>
        <w:bottom w:val="none" w:sz="0" w:space="0" w:color="auto"/>
        <w:right w:val="none" w:sz="0" w:space="0" w:color="auto"/>
      </w:divBdr>
    </w:div>
    <w:div w:id="1185166077">
      <w:bodyDiv w:val="1"/>
      <w:marLeft w:val="0"/>
      <w:marRight w:val="0"/>
      <w:marTop w:val="0"/>
      <w:marBottom w:val="0"/>
      <w:divBdr>
        <w:top w:val="none" w:sz="0" w:space="0" w:color="auto"/>
        <w:left w:val="none" w:sz="0" w:space="0" w:color="auto"/>
        <w:bottom w:val="none" w:sz="0" w:space="0" w:color="auto"/>
        <w:right w:val="none" w:sz="0" w:space="0" w:color="auto"/>
      </w:divBdr>
    </w:div>
    <w:div w:id="1190071602">
      <w:bodyDiv w:val="1"/>
      <w:marLeft w:val="0"/>
      <w:marRight w:val="0"/>
      <w:marTop w:val="0"/>
      <w:marBottom w:val="0"/>
      <w:divBdr>
        <w:top w:val="none" w:sz="0" w:space="0" w:color="auto"/>
        <w:left w:val="none" w:sz="0" w:space="0" w:color="auto"/>
        <w:bottom w:val="none" w:sz="0" w:space="0" w:color="auto"/>
        <w:right w:val="none" w:sz="0" w:space="0" w:color="auto"/>
      </w:divBdr>
    </w:div>
    <w:div w:id="1190877518">
      <w:bodyDiv w:val="1"/>
      <w:marLeft w:val="0"/>
      <w:marRight w:val="0"/>
      <w:marTop w:val="0"/>
      <w:marBottom w:val="0"/>
      <w:divBdr>
        <w:top w:val="none" w:sz="0" w:space="0" w:color="auto"/>
        <w:left w:val="none" w:sz="0" w:space="0" w:color="auto"/>
        <w:bottom w:val="none" w:sz="0" w:space="0" w:color="auto"/>
        <w:right w:val="none" w:sz="0" w:space="0" w:color="auto"/>
      </w:divBdr>
    </w:div>
    <w:div w:id="1206329820">
      <w:bodyDiv w:val="1"/>
      <w:marLeft w:val="0"/>
      <w:marRight w:val="0"/>
      <w:marTop w:val="0"/>
      <w:marBottom w:val="0"/>
      <w:divBdr>
        <w:top w:val="none" w:sz="0" w:space="0" w:color="auto"/>
        <w:left w:val="none" w:sz="0" w:space="0" w:color="auto"/>
        <w:bottom w:val="none" w:sz="0" w:space="0" w:color="auto"/>
        <w:right w:val="none" w:sz="0" w:space="0" w:color="auto"/>
      </w:divBdr>
    </w:div>
    <w:div w:id="1206869490">
      <w:bodyDiv w:val="1"/>
      <w:marLeft w:val="0"/>
      <w:marRight w:val="0"/>
      <w:marTop w:val="0"/>
      <w:marBottom w:val="0"/>
      <w:divBdr>
        <w:top w:val="none" w:sz="0" w:space="0" w:color="auto"/>
        <w:left w:val="none" w:sz="0" w:space="0" w:color="auto"/>
        <w:bottom w:val="none" w:sz="0" w:space="0" w:color="auto"/>
        <w:right w:val="none" w:sz="0" w:space="0" w:color="auto"/>
      </w:divBdr>
    </w:div>
    <w:div w:id="1207454183">
      <w:bodyDiv w:val="1"/>
      <w:marLeft w:val="0"/>
      <w:marRight w:val="0"/>
      <w:marTop w:val="0"/>
      <w:marBottom w:val="0"/>
      <w:divBdr>
        <w:top w:val="none" w:sz="0" w:space="0" w:color="auto"/>
        <w:left w:val="none" w:sz="0" w:space="0" w:color="auto"/>
        <w:bottom w:val="none" w:sz="0" w:space="0" w:color="auto"/>
        <w:right w:val="none" w:sz="0" w:space="0" w:color="auto"/>
      </w:divBdr>
    </w:div>
    <w:div w:id="1215312099">
      <w:bodyDiv w:val="1"/>
      <w:marLeft w:val="0"/>
      <w:marRight w:val="0"/>
      <w:marTop w:val="0"/>
      <w:marBottom w:val="0"/>
      <w:divBdr>
        <w:top w:val="none" w:sz="0" w:space="0" w:color="auto"/>
        <w:left w:val="none" w:sz="0" w:space="0" w:color="auto"/>
        <w:bottom w:val="none" w:sz="0" w:space="0" w:color="auto"/>
        <w:right w:val="none" w:sz="0" w:space="0" w:color="auto"/>
      </w:divBdr>
    </w:div>
    <w:div w:id="1225221214">
      <w:bodyDiv w:val="1"/>
      <w:marLeft w:val="0"/>
      <w:marRight w:val="0"/>
      <w:marTop w:val="0"/>
      <w:marBottom w:val="0"/>
      <w:divBdr>
        <w:top w:val="none" w:sz="0" w:space="0" w:color="auto"/>
        <w:left w:val="none" w:sz="0" w:space="0" w:color="auto"/>
        <w:bottom w:val="none" w:sz="0" w:space="0" w:color="auto"/>
        <w:right w:val="none" w:sz="0" w:space="0" w:color="auto"/>
      </w:divBdr>
    </w:div>
    <w:div w:id="1230726451">
      <w:bodyDiv w:val="1"/>
      <w:marLeft w:val="0"/>
      <w:marRight w:val="0"/>
      <w:marTop w:val="0"/>
      <w:marBottom w:val="0"/>
      <w:divBdr>
        <w:top w:val="none" w:sz="0" w:space="0" w:color="auto"/>
        <w:left w:val="none" w:sz="0" w:space="0" w:color="auto"/>
        <w:bottom w:val="none" w:sz="0" w:space="0" w:color="auto"/>
        <w:right w:val="none" w:sz="0" w:space="0" w:color="auto"/>
      </w:divBdr>
    </w:div>
    <w:div w:id="1237059125">
      <w:bodyDiv w:val="1"/>
      <w:marLeft w:val="0"/>
      <w:marRight w:val="0"/>
      <w:marTop w:val="0"/>
      <w:marBottom w:val="0"/>
      <w:divBdr>
        <w:top w:val="none" w:sz="0" w:space="0" w:color="auto"/>
        <w:left w:val="none" w:sz="0" w:space="0" w:color="auto"/>
        <w:bottom w:val="none" w:sz="0" w:space="0" w:color="auto"/>
        <w:right w:val="none" w:sz="0" w:space="0" w:color="auto"/>
      </w:divBdr>
    </w:div>
    <w:div w:id="1237713005">
      <w:bodyDiv w:val="1"/>
      <w:marLeft w:val="0"/>
      <w:marRight w:val="0"/>
      <w:marTop w:val="0"/>
      <w:marBottom w:val="0"/>
      <w:divBdr>
        <w:top w:val="none" w:sz="0" w:space="0" w:color="auto"/>
        <w:left w:val="none" w:sz="0" w:space="0" w:color="auto"/>
        <w:bottom w:val="none" w:sz="0" w:space="0" w:color="auto"/>
        <w:right w:val="none" w:sz="0" w:space="0" w:color="auto"/>
      </w:divBdr>
    </w:div>
    <w:div w:id="1258752358">
      <w:bodyDiv w:val="1"/>
      <w:marLeft w:val="0"/>
      <w:marRight w:val="0"/>
      <w:marTop w:val="0"/>
      <w:marBottom w:val="0"/>
      <w:divBdr>
        <w:top w:val="none" w:sz="0" w:space="0" w:color="auto"/>
        <w:left w:val="none" w:sz="0" w:space="0" w:color="auto"/>
        <w:bottom w:val="none" w:sz="0" w:space="0" w:color="auto"/>
        <w:right w:val="none" w:sz="0" w:space="0" w:color="auto"/>
      </w:divBdr>
    </w:div>
    <w:div w:id="1259026136">
      <w:bodyDiv w:val="1"/>
      <w:marLeft w:val="0"/>
      <w:marRight w:val="0"/>
      <w:marTop w:val="0"/>
      <w:marBottom w:val="0"/>
      <w:divBdr>
        <w:top w:val="none" w:sz="0" w:space="0" w:color="auto"/>
        <w:left w:val="none" w:sz="0" w:space="0" w:color="auto"/>
        <w:bottom w:val="none" w:sz="0" w:space="0" w:color="auto"/>
        <w:right w:val="none" w:sz="0" w:space="0" w:color="auto"/>
      </w:divBdr>
    </w:div>
    <w:div w:id="1270431240">
      <w:bodyDiv w:val="1"/>
      <w:marLeft w:val="0"/>
      <w:marRight w:val="0"/>
      <w:marTop w:val="0"/>
      <w:marBottom w:val="0"/>
      <w:divBdr>
        <w:top w:val="none" w:sz="0" w:space="0" w:color="auto"/>
        <w:left w:val="none" w:sz="0" w:space="0" w:color="auto"/>
        <w:bottom w:val="none" w:sz="0" w:space="0" w:color="auto"/>
        <w:right w:val="none" w:sz="0" w:space="0" w:color="auto"/>
      </w:divBdr>
    </w:div>
    <w:div w:id="1295333087">
      <w:bodyDiv w:val="1"/>
      <w:marLeft w:val="0"/>
      <w:marRight w:val="0"/>
      <w:marTop w:val="0"/>
      <w:marBottom w:val="0"/>
      <w:divBdr>
        <w:top w:val="none" w:sz="0" w:space="0" w:color="auto"/>
        <w:left w:val="none" w:sz="0" w:space="0" w:color="auto"/>
        <w:bottom w:val="none" w:sz="0" w:space="0" w:color="auto"/>
        <w:right w:val="none" w:sz="0" w:space="0" w:color="auto"/>
      </w:divBdr>
    </w:div>
    <w:div w:id="1302880656">
      <w:bodyDiv w:val="1"/>
      <w:marLeft w:val="0"/>
      <w:marRight w:val="0"/>
      <w:marTop w:val="0"/>
      <w:marBottom w:val="0"/>
      <w:divBdr>
        <w:top w:val="none" w:sz="0" w:space="0" w:color="auto"/>
        <w:left w:val="none" w:sz="0" w:space="0" w:color="auto"/>
        <w:bottom w:val="none" w:sz="0" w:space="0" w:color="auto"/>
        <w:right w:val="none" w:sz="0" w:space="0" w:color="auto"/>
      </w:divBdr>
    </w:div>
    <w:div w:id="1309821930">
      <w:bodyDiv w:val="1"/>
      <w:marLeft w:val="0"/>
      <w:marRight w:val="0"/>
      <w:marTop w:val="0"/>
      <w:marBottom w:val="0"/>
      <w:divBdr>
        <w:top w:val="none" w:sz="0" w:space="0" w:color="auto"/>
        <w:left w:val="none" w:sz="0" w:space="0" w:color="auto"/>
        <w:bottom w:val="none" w:sz="0" w:space="0" w:color="auto"/>
        <w:right w:val="none" w:sz="0" w:space="0" w:color="auto"/>
      </w:divBdr>
    </w:div>
    <w:div w:id="1311977395">
      <w:bodyDiv w:val="1"/>
      <w:marLeft w:val="0"/>
      <w:marRight w:val="0"/>
      <w:marTop w:val="0"/>
      <w:marBottom w:val="0"/>
      <w:divBdr>
        <w:top w:val="none" w:sz="0" w:space="0" w:color="auto"/>
        <w:left w:val="none" w:sz="0" w:space="0" w:color="auto"/>
        <w:bottom w:val="none" w:sz="0" w:space="0" w:color="auto"/>
        <w:right w:val="none" w:sz="0" w:space="0" w:color="auto"/>
      </w:divBdr>
    </w:div>
    <w:div w:id="1319922705">
      <w:bodyDiv w:val="1"/>
      <w:marLeft w:val="0"/>
      <w:marRight w:val="0"/>
      <w:marTop w:val="0"/>
      <w:marBottom w:val="0"/>
      <w:divBdr>
        <w:top w:val="none" w:sz="0" w:space="0" w:color="auto"/>
        <w:left w:val="none" w:sz="0" w:space="0" w:color="auto"/>
        <w:bottom w:val="none" w:sz="0" w:space="0" w:color="auto"/>
        <w:right w:val="none" w:sz="0" w:space="0" w:color="auto"/>
      </w:divBdr>
    </w:div>
    <w:div w:id="1319923754">
      <w:bodyDiv w:val="1"/>
      <w:marLeft w:val="0"/>
      <w:marRight w:val="0"/>
      <w:marTop w:val="0"/>
      <w:marBottom w:val="0"/>
      <w:divBdr>
        <w:top w:val="none" w:sz="0" w:space="0" w:color="auto"/>
        <w:left w:val="none" w:sz="0" w:space="0" w:color="auto"/>
        <w:bottom w:val="none" w:sz="0" w:space="0" w:color="auto"/>
        <w:right w:val="none" w:sz="0" w:space="0" w:color="auto"/>
      </w:divBdr>
    </w:div>
    <w:div w:id="1320427372">
      <w:bodyDiv w:val="1"/>
      <w:marLeft w:val="0"/>
      <w:marRight w:val="0"/>
      <w:marTop w:val="0"/>
      <w:marBottom w:val="0"/>
      <w:divBdr>
        <w:top w:val="none" w:sz="0" w:space="0" w:color="auto"/>
        <w:left w:val="none" w:sz="0" w:space="0" w:color="auto"/>
        <w:bottom w:val="none" w:sz="0" w:space="0" w:color="auto"/>
        <w:right w:val="none" w:sz="0" w:space="0" w:color="auto"/>
      </w:divBdr>
    </w:div>
    <w:div w:id="1323849628">
      <w:bodyDiv w:val="1"/>
      <w:marLeft w:val="0"/>
      <w:marRight w:val="0"/>
      <w:marTop w:val="0"/>
      <w:marBottom w:val="0"/>
      <w:divBdr>
        <w:top w:val="none" w:sz="0" w:space="0" w:color="auto"/>
        <w:left w:val="none" w:sz="0" w:space="0" w:color="auto"/>
        <w:bottom w:val="none" w:sz="0" w:space="0" w:color="auto"/>
        <w:right w:val="none" w:sz="0" w:space="0" w:color="auto"/>
      </w:divBdr>
    </w:div>
    <w:div w:id="1326474114">
      <w:bodyDiv w:val="1"/>
      <w:marLeft w:val="0"/>
      <w:marRight w:val="0"/>
      <w:marTop w:val="0"/>
      <w:marBottom w:val="0"/>
      <w:divBdr>
        <w:top w:val="none" w:sz="0" w:space="0" w:color="auto"/>
        <w:left w:val="none" w:sz="0" w:space="0" w:color="auto"/>
        <w:bottom w:val="none" w:sz="0" w:space="0" w:color="auto"/>
        <w:right w:val="none" w:sz="0" w:space="0" w:color="auto"/>
      </w:divBdr>
    </w:div>
    <w:div w:id="1370103753">
      <w:bodyDiv w:val="1"/>
      <w:marLeft w:val="0"/>
      <w:marRight w:val="0"/>
      <w:marTop w:val="0"/>
      <w:marBottom w:val="0"/>
      <w:divBdr>
        <w:top w:val="none" w:sz="0" w:space="0" w:color="auto"/>
        <w:left w:val="none" w:sz="0" w:space="0" w:color="auto"/>
        <w:bottom w:val="none" w:sz="0" w:space="0" w:color="auto"/>
        <w:right w:val="none" w:sz="0" w:space="0" w:color="auto"/>
      </w:divBdr>
    </w:div>
    <w:div w:id="1382317749">
      <w:bodyDiv w:val="1"/>
      <w:marLeft w:val="0"/>
      <w:marRight w:val="0"/>
      <w:marTop w:val="0"/>
      <w:marBottom w:val="0"/>
      <w:divBdr>
        <w:top w:val="none" w:sz="0" w:space="0" w:color="auto"/>
        <w:left w:val="none" w:sz="0" w:space="0" w:color="auto"/>
        <w:bottom w:val="none" w:sz="0" w:space="0" w:color="auto"/>
        <w:right w:val="none" w:sz="0" w:space="0" w:color="auto"/>
      </w:divBdr>
    </w:div>
    <w:div w:id="1396201987">
      <w:bodyDiv w:val="1"/>
      <w:marLeft w:val="0"/>
      <w:marRight w:val="0"/>
      <w:marTop w:val="0"/>
      <w:marBottom w:val="0"/>
      <w:divBdr>
        <w:top w:val="none" w:sz="0" w:space="0" w:color="auto"/>
        <w:left w:val="none" w:sz="0" w:space="0" w:color="auto"/>
        <w:bottom w:val="none" w:sz="0" w:space="0" w:color="auto"/>
        <w:right w:val="none" w:sz="0" w:space="0" w:color="auto"/>
      </w:divBdr>
    </w:div>
    <w:div w:id="1459294740">
      <w:bodyDiv w:val="1"/>
      <w:marLeft w:val="0"/>
      <w:marRight w:val="0"/>
      <w:marTop w:val="0"/>
      <w:marBottom w:val="0"/>
      <w:divBdr>
        <w:top w:val="none" w:sz="0" w:space="0" w:color="auto"/>
        <w:left w:val="none" w:sz="0" w:space="0" w:color="auto"/>
        <w:bottom w:val="none" w:sz="0" w:space="0" w:color="auto"/>
        <w:right w:val="none" w:sz="0" w:space="0" w:color="auto"/>
      </w:divBdr>
    </w:div>
    <w:div w:id="1479683149">
      <w:bodyDiv w:val="1"/>
      <w:marLeft w:val="0"/>
      <w:marRight w:val="0"/>
      <w:marTop w:val="0"/>
      <w:marBottom w:val="0"/>
      <w:divBdr>
        <w:top w:val="none" w:sz="0" w:space="0" w:color="auto"/>
        <w:left w:val="none" w:sz="0" w:space="0" w:color="auto"/>
        <w:bottom w:val="none" w:sz="0" w:space="0" w:color="auto"/>
        <w:right w:val="none" w:sz="0" w:space="0" w:color="auto"/>
      </w:divBdr>
    </w:div>
    <w:div w:id="1517815322">
      <w:bodyDiv w:val="1"/>
      <w:marLeft w:val="0"/>
      <w:marRight w:val="0"/>
      <w:marTop w:val="0"/>
      <w:marBottom w:val="0"/>
      <w:divBdr>
        <w:top w:val="none" w:sz="0" w:space="0" w:color="auto"/>
        <w:left w:val="none" w:sz="0" w:space="0" w:color="auto"/>
        <w:bottom w:val="none" w:sz="0" w:space="0" w:color="auto"/>
        <w:right w:val="none" w:sz="0" w:space="0" w:color="auto"/>
      </w:divBdr>
    </w:div>
    <w:div w:id="1525823423">
      <w:bodyDiv w:val="1"/>
      <w:marLeft w:val="0"/>
      <w:marRight w:val="0"/>
      <w:marTop w:val="0"/>
      <w:marBottom w:val="0"/>
      <w:divBdr>
        <w:top w:val="none" w:sz="0" w:space="0" w:color="auto"/>
        <w:left w:val="none" w:sz="0" w:space="0" w:color="auto"/>
        <w:bottom w:val="none" w:sz="0" w:space="0" w:color="auto"/>
        <w:right w:val="none" w:sz="0" w:space="0" w:color="auto"/>
      </w:divBdr>
    </w:div>
    <w:div w:id="1526944853">
      <w:bodyDiv w:val="1"/>
      <w:marLeft w:val="0"/>
      <w:marRight w:val="0"/>
      <w:marTop w:val="0"/>
      <w:marBottom w:val="0"/>
      <w:divBdr>
        <w:top w:val="none" w:sz="0" w:space="0" w:color="auto"/>
        <w:left w:val="none" w:sz="0" w:space="0" w:color="auto"/>
        <w:bottom w:val="none" w:sz="0" w:space="0" w:color="auto"/>
        <w:right w:val="none" w:sz="0" w:space="0" w:color="auto"/>
      </w:divBdr>
    </w:div>
    <w:div w:id="1533346805">
      <w:bodyDiv w:val="1"/>
      <w:marLeft w:val="390"/>
      <w:marRight w:val="390"/>
      <w:marTop w:val="0"/>
      <w:marBottom w:val="0"/>
      <w:divBdr>
        <w:top w:val="none" w:sz="0" w:space="0" w:color="auto"/>
        <w:left w:val="none" w:sz="0" w:space="0" w:color="auto"/>
        <w:bottom w:val="none" w:sz="0" w:space="0" w:color="auto"/>
        <w:right w:val="none" w:sz="0" w:space="0" w:color="auto"/>
      </w:divBdr>
      <w:divsChild>
        <w:div w:id="1972860031">
          <w:marLeft w:val="0"/>
          <w:marRight w:val="0"/>
          <w:marTop w:val="0"/>
          <w:marBottom w:val="0"/>
          <w:divBdr>
            <w:top w:val="none" w:sz="0" w:space="0" w:color="auto"/>
            <w:left w:val="none" w:sz="0" w:space="0" w:color="auto"/>
            <w:bottom w:val="none" w:sz="0" w:space="0" w:color="auto"/>
            <w:right w:val="none" w:sz="0" w:space="0" w:color="auto"/>
          </w:divBdr>
        </w:div>
      </w:divsChild>
    </w:div>
    <w:div w:id="1535576692">
      <w:bodyDiv w:val="1"/>
      <w:marLeft w:val="0"/>
      <w:marRight w:val="0"/>
      <w:marTop w:val="0"/>
      <w:marBottom w:val="0"/>
      <w:divBdr>
        <w:top w:val="none" w:sz="0" w:space="0" w:color="auto"/>
        <w:left w:val="none" w:sz="0" w:space="0" w:color="auto"/>
        <w:bottom w:val="none" w:sz="0" w:space="0" w:color="auto"/>
        <w:right w:val="none" w:sz="0" w:space="0" w:color="auto"/>
      </w:divBdr>
    </w:div>
    <w:div w:id="1538617985">
      <w:bodyDiv w:val="1"/>
      <w:marLeft w:val="0"/>
      <w:marRight w:val="0"/>
      <w:marTop w:val="0"/>
      <w:marBottom w:val="0"/>
      <w:divBdr>
        <w:top w:val="none" w:sz="0" w:space="0" w:color="auto"/>
        <w:left w:val="none" w:sz="0" w:space="0" w:color="auto"/>
        <w:bottom w:val="none" w:sz="0" w:space="0" w:color="auto"/>
        <w:right w:val="none" w:sz="0" w:space="0" w:color="auto"/>
      </w:divBdr>
    </w:div>
    <w:div w:id="1544637321">
      <w:bodyDiv w:val="1"/>
      <w:marLeft w:val="0"/>
      <w:marRight w:val="0"/>
      <w:marTop w:val="0"/>
      <w:marBottom w:val="0"/>
      <w:divBdr>
        <w:top w:val="none" w:sz="0" w:space="0" w:color="auto"/>
        <w:left w:val="none" w:sz="0" w:space="0" w:color="auto"/>
        <w:bottom w:val="none" w:sz="0" w:space="0" w:color="auto"/>
        <w:right w:val="none" w:sz="0" w:space="0" w:color="auto"/>
      </w:divBdr>
    </w:div>
    <w:div w:id="1589733196">
      <w:bodyDiv w:val="1"/>
      <w:marLeft w:val="0"/>
      <w:marRight w:val="0"/>
      <w:marTop w:val="0"/>
      <w:marBottom w:val="0"/>
      <w:divBdr>
        <w:top w:val="none" w:sz="0" w:space="0" w:color="auto"/>
        <w:left w:val="none" w:sz="0" w:space="0" w:color="auto"/>
        <w:bottom w:val="none" w:sz="0" w:space="0" w:color="auto"/>
        <w:right w:val="none" w:sz="0" w:space="0" w:color="auto"/>
      </w:divBdr>
    </w:div>
    <w:div w:id="1613122248">
      <w:bodyDiv w:val="1"/>
      <w:marLeft w:val="0"/>
      <w:marRight w:val="0"/>
      <w:marTop w:val="0"/>
      <w:marBottom w:val="0"/>
      <w:divBdr>
        <w:top w:val="none" w:sz="0" w:space="0" w:color="auto"/>
        <w:left w:val="none" w:sz="0" w:space="0" w:color="auto"/>
        <w:bottom w:val="none" w:sz="0" w:space="0" w:color="auto"/>
        <w:right w:val="none" w:sz="0" w:space="0" w:color="auto"/>
      </w:divBdr>
    </w:div>
    <w:div w:id="1623612253">
      <w:bodyDiv w:val="1"/>
      <w:marLeft w:val="0"/>
      <w:marRight w:val="0"/>
      <w:marTop w:val="0"/>
      <w:marBottom w:val="0"/>
      <w:divBdr>
        <w:top w:val="none" w:sz="0" w:space="0" w:color="auto"/>
        <w:left w:val="none" w:sz="0" w:space="0" w:color="auto"/>
        <w:bottom w:val="none" w:sz="0" w:space="0" w:color="auto"/>
        <w:right w:val="none" w:sz="0" w:space="0" w:color="auto"/>
      </w:divBdr>
    </w:div>
    <w:div w:id="1640451767">
      <w:bodyDiv w:val="1"/>
      <w:marLeft w:val="0"/>
      <w:marRight w:val="0"/>
      <w:marTop w:val="0"/>
      <w:marBottom w:val="0"/>
      <w:divBdr>
        <w:top w:val="none" w:sz="0" w:space="0" w:color="auto"/>
        <w:left w:val="none" w:sz="0" w:space="0" w:color="auto"/>
        <w:bottom w:val="none" w:sz="0" w:space="0" w:color="auto"/>
        <w:right w:val="none" w:sz="0" w:space="0" w:color="auto"/>
      </w:divBdr>
    </w:div>
    <w:div w:id="1653168792">
      <w:bodyDiv w:val="1"/>
      <w:marLeft w:val="0"/>
      <w:marRight w:val="0"/>
      <w:marTop w:val="0"/>
      <w:marBottom w:val="0"/>
      <w:divBdr>
        <w:top w:val="none" w:sz="0" w:space="0" w:color="auto"/>
        <w:left w:val="none" w:sz="0" w:space="0" w:color="auto"/>
        <w:bottom w:val="none" w:sz="0" w:space="0" w:color="auto"/>
        <w:right w:val="none" w:sz="0" w:space="0" w:color="auto"/>
      </w:divBdr>
    </w:div>
    <w:div w:id="1662806110">
      <w:bodyDiv w:val="1"/>
      <w:marLeft w:val="0"/>
      <w:marRight w:val="0"/>
      <w:marTop w:val="0"/>
      <w:marBottom w:val="0"/>
      <w:divBdr>
        <w:top w:val="none" w:sz="0" w:space="0" w:color="auto"/>
        <w:left w:val="none" w:sz="0" w:space="0" w:color="auto"/>
        <w:bottom w:val="none" w:sz="0" w:space="0" w:color="auto"/>
        <w:right w:val="none" w:sz="0" w:space="0" w:color="auto"/>
      </w:divBdr>
    </w:div>
    <w:div w:id="1668829148">
      <w:bodyDiv w:val="1"/>
      <w:marLeft w:val="0"/>
      <w:marRight w:val="0"/>
      <w:marTop w:val="0"/>
      <w:marBottom w:val="0"/>
      <w:divBdr>
        <w:top w:val="none" w:sz="0" w:space="0" w:color="auto"/>
        <w:left w:val="none" w:sz="0" w:space="0" w:color="auto"/>
        <w:bottom w:val="none" w:sz="0" w:space="0" w:color="auto"/>
        <w:right w:val="none" w:sz="0" w:space="0" w:color="auto"/>
      </w:divBdr>
      <w:divsChild>
        <w:div w:id="3986481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81926135">
      <w:bodyDiv w:val="1"/>
      <w:marLeft w:val="0"/>
      <w:marRight w:val="0"/>
      <w:marTop w:val="0"/>
      <w:marBottom w:val="0"/>
      <w:divBdr>
        <w:top w:val="none" w:sz="0" w:space="0" w:color="auto"/>
        <w:left w:val="none" w:sz="0" w:space="0" w:color="auto"/>
        <w:bottom w:val="none" w:sz="0" w:space="0" w:color="auto"/>
        <w:right w:val="none" w:sz="0" w:space="0" w:color="auto"/>
      </w:divBdr>
    </w:div>
    <w:div w:id="1697348401">
      <w:bodyDiv w:val="1"/>
      <w:marLeft w:val="0"/>
      <w:marRight w:val="0"/>
      <w:marTop w:val="0"/>
      <w:marBottom w:val="0"/>
      <w:divBdr>
        <w:top w:val="none" w:sz="0" w:space="0" w:color="auto"/>
        <w:left w:val="none" w:sz="0" w:space="0" w:color="auto"/>
        <w:bottom w:val="none" w:sz="0" w:space="0" w:color="auto"/>
        <w:right w:val="none" w:sz="0" w:space="0" w:color="auto"/>
      </w:divBdr>
    </w:div>
    <w:div w:id="1709795206">
      <w:bodyDiv w:val="1"/>
      <w:marLeft w:val="0"/>
      <w:marRight w:val="0"/>
      <w:marTop w:val="0"/>
      <w:marBottom w:val="0"/>
      <w:divBdr>
        <w:top w:val="none" w:sz="0" w:space="0" w:color="auto"/>
        <w:left w:val="none" w:sz="0" w:space="0" w:color="auto"/>
        <w:bottom w:val="none" w:sz="0" w:space="0" w:color="auto"/>
        <w:right w:val="none" w:sz="0" w:space="0" w:color="auto"/>
      </w:divBdr>
    </w:div>
    <w:div w:id="1719815864">
      <w:bodyDiv w:val="1"/>
      <w:marLeft w:val="0"/>
      <w:marRight w:val="0"/>
      <w:marTop w:val="0"/>
      <w:marBottom w:val="0"/>
      <w:divBdr>
        <w:top w:val="none" w:sz="0" w:space="0" w:color="auto"/>
        <w:left w:val="none" w:sz="0" w:space="0" w:color="auto"/>
        <w:bottom w:val="none" w:sz="0" w:space="0" w:color="auto"/>
        <w:right w:val="none" w:sz="0" w:space="0" w:color="auto"/>
      </w:divBdr>
    </w:div>
    <w:div w:id="1729717996">
      <w:bodyDiv w:val="1"/>
      <w:marLeft w:val="0"/>
      <w:marRight w:val="0"/>
      <w:marTop w:val="0"/>
      <w:marBottom w:val="0"/>
      <w:divBdr>
        <w:top w:val="none" w:sz="0" w:space="0" w:color="auto"/>
        <w:left w:val="none" w:sz="0" w:space="0" w:color="auto"/>
        <w:bottom w:val="none" w:sz="0" w:space="0" w:color="auto"/>
        <w:right w:val="none" w:sz="0" w:space="0" w:color="auto"/>
      </w:divBdr>
    </w:div>
    <w:div w:id="1739597115">
      <w:bodyDiv w:val="1"/>
      <w:marLeft w:val="0"/>
      <w:marRight w:val="0"/>
      <w:marTop w:val="0"/>
      <w:marBottom w:val="0"/>
      <w:divBdr>
        <w:top w:val="none" w:sz="0" w:space="0" w:color="auto"/>
        <w:left w:val="none" w:sz="0" w:space="0" w:color="auto"/>
        <w:bottom w:val="none" w:sz="0" w:space="0" w:color="auto"/>
        <w:right w:val="none" w:sz="0" w:space="0" w:color="auto"/>
      </w:divBdr>
    </w:div>
    <w:div w:id="1746683403">
      <w:bodyDiv w:val="1"/>
      <w:marLeft w:val="0"/>
      <w:marRight w:val="0"/>
      <w:marTop w:val="0"/>
      <w:marBottom w:val="0"/>
      <w:divBdr>
        <w:top w:val="none" w:sz="0" w:space="0" w:color="auto"/>
        <w:left w:val="none" w:sz="0" w:space="0" w:color="auto"/>
        <w:bottom w:val="none" w:sz="0" w:space="0" w:color="auto"/>
        <w:right w:val="none" w:sz="0" w:space="0" w:color="auto"/>
      </w:divBdr>
    </w:div>
    <w:div w:id="1757241940">
      <w:bodyDiv w:val="1"/>
      <w:marLeft w:val="0"/>
      <w:marRight w:val="0"/>
      <w:marTop w:val="0"/>
      <w:marBottom w:val="0"/>
      <w:divBdr>
        <w:top w:val="none" w:sz="0" w:space="0" w:color="auto"/>
        <w:left w:val="none" w:sz="0" w:space="0" w:color="auto"/>
        <w:bottom w:val="none" w:sz="0" w:space="0" w:color="auto"/>
        <w:right w:val="none" w:sz="0" w:space="0" w:color="auto"/>
      </w:divBdr>
    </w:div>
    <w:div w:id="1788885933">
      <w:bodyDiv w:val="1"/>
      <w:marLeft w:val="0"/>
      <w:marRight w:val="0"/>
      <w:marTop w:val="0"/>
      <w:marBottom w:val="0"/>
      <w:divBdr>
        <w:top w:val="none" w:sz="0" w:space="0" w:color="auto"/>
        <w:left w:val="none" w:sz="0" w:space="0" w:color="auto"/>
        <w:bottom w:val="none" w:sz="0" w:space="0" w:color="auto"/>
        <w:right w:val="none" w:sz="0" w:space="0" w:color="auto"/>
      </w:divBdr>
    </w:div>
    <w:div w:id="1788891993">
      <w:bodyDiv w:val="1"/>
      <w:marLeft w:val="0"/>
      <w:marRight w:val="0"/>
      <w:marTop w:val="0"/>
      <w:marBottom w:val="0"/>
      <w:divBdr>
        <w:top w:val="none" w:sz="0" w:space="0" w:color="auto"/>
        <w:left w:val="none" w:sz="0" w:space="0" w:color="auto"/>
        <w:bottom w:val="none" w:sz="0" w:space="0" w:color="auto"/>
        <w:right w:val="none" w:sz="0" w:space="0" w:color="auto"/>
      </w:divBdr>
    </w:div>
    <w:div w:id="1805389740">
      <w:bodyDiv w:val="1"/>
      <w:marLeft w:val="0"/>
      <w:marRight w:val="0"/>
      <w:marTop w:val="0"/>
      <w:marBottom w:val="0"/>
      <w:divBdr>
        <w:top w:val="none" w:sz="0" w:space="0" w:color="auto"/>
        <w:left w:val="none" w:sz="0" w:space="0" w:color="auto"/>
        <w:bottom w:val="none" w:sz="0" w:space="0" w:color="auto"/>
        <w:right w:val="none" w:sz="0" w:space="0" w:color="auto"/>
      </w:divBdr>
    </w:div>
    <w:div w:id="1814562056">
      <w:bodyDiv w:val="1"/>
      <w:marLeft w:val="0"/>
      <w:marRight w:val="0"/>
      <w:marTop w:val="0"/>
      <w:marBottom w:val="0"/>
      <w:divBdr>
        <w:top w:val="none" w:sz="0" w:space="0" w:color="auto"/>
        <w:left w:val="none" w:sz="0" w:space="0" w:color="auto"/>
        <w:bottom w:val="none" w:sz="0" w:space="0" w:color="auto"/>
        <w:right w:val="none" w:sz="0" w:space="0" w:color="auto"/>
      </w:divBdr>
    </w:div>
    <w:div w:id="1820488974">
      <w:bodyDiv w:val="1"/>
      <w:marLeft w:val="0"/>
      <w:marRight w:val="0"/>
      <w:marTop w:val="0"/>
      <w:marBottom w:val="0"/>
      <w:divBdr>
        <w:top w:val="none" w:sz="0" w:space="0" w:color="auto"/>
        <w:left w:val="none" w:sz="0" w:space="0" w:color="auto"/>
        <w:bottom w:val="none" w:sz="0" w:space="0" w:color="auto"/>
        <w:right w:val="none" w:sz="0" w:space="0" w:color="auto"/>
      </w:divBdr>
    </w:div>
    <w:div w:id="1833131835">
      <w:bodyDiv w:val="1"/>
      <w:marLeft w:val="0"/>
      <w:marRight w:val="0"/>
      <w:marTop w:val="0"/>
      <w:marBottom w:val="0"/>
      <w:divBdr>
        <w:top w:val="none" w:sz="0" w:space="0" w:color="auto"/>
        <w:left w:val="none" w:sz="0" w:space="0" w:color="auto"/>
        <w:bottom w:val="none" w:sz="0" w:space="0" w:color="auto"/>
        <w:right w:val="none" w:sz="0" w:space="0" w:color="auto"/>
      </w:divBdr>
    </w:div>
    <w:div w:id="1836795967">
      <w:bodyDiv w:val="1"/>
      <w:marLeft w:val="0"/>
      <w:marRight w:val="0"/>
      <w:marTop w:val="0"/>
      <w:marBottom w:val="0"/>
      <w:divBdr>
        <w:top w:val="none" w:sz="0" w:space="0" w:color="auto"/>
        <w:left w:val="none" w:sz="0" w:space="0" w:color="auto"/>
        <w:bottom w:val="none" w:sz="0" w:space="0" w:color="auto"/>
        <w:right w:val="none" w:sz="0" w:space="0" w:color="auto"/>
      </w:divBdr>
    </w:div>
    <w:div w:id="1841384489">
      <w:bodyDiv w:val="1"/>
      <w:marLeft w:val="0"/>
      <w:marRight w:val="0"/>
      <w:marTop w:val="0"/>
      <w:marBottom w:val="0"/>
      <w:divBdr>
        <w:top w:val="none" w:sz="0" w:space="0" w:color="auto"/>
        <w:left w:val="none" w:sz="0" w:space="0" w:color="auto"/>
        <w:bottom w:val="none" w:sz="0" w:space="0" w:color="auto"/>
        <w:right w:val="none" w:sz="0" w:space="0" w:color="auto"/>
      </w:divBdr>
    </w:div>
    <w:div w:id="1841845692">
      <w:bodyDiv w:val="1"/>
      <w:marLeft w:val="0"/>
      <w:marRight w:val="0"/>
      <w:marTop w:val="0"/>
      <w:marBottom w:val="0"/>
      <w:divBdr>
        <w:top w:val="none" w:sz="0" w:space="0" w:color="auto"/>
        <w:left w:val="none" w:sz="0" w:space="0" w:color="auto"/>
        <w:bottom w:val="none" w:sz="0" w:space="0" w:color="auto"/>
        <w:right w:val="none" w:sz="0" w:space="0" w:color="auto"/>
      </w:divBdr>
    </w:div>
    <w:div w:id="1867520596">
      <w:bodyDiv w:val="1"/>
      <w:marLeft w:val="0"/>
      <w:marRight w:val="0"/>
      <w:marTop w:val="0"/>
      <w:marBottom w:val="0"/>
      <w:divBdr>
        <w:top w:val="none" w:sz="0" w:space="0" w:color="auto"/>
        <w:left w:val="none" w:sz="0" w:space="0" w:color="auto"/>
        <w:bottom w:val="none" w:sz="0" w:space="0" w:color="auto"/>
        <w:right w:val="none" w:sz="0" w:space="0" w:color="auto"/>
      </w:divBdr>
    </w:div>
    <w:div w:id="1905679787">
      <w:bodyDiv w:val="1"/>
      <w:marLeft w:val="0"/>
      <w:marRight w:val="0"/>
      <w:marTop w:val="0"/>
      <w:marBottom w:val="0"/>
      <w:divBdr>
        <w:top w:val="none" w:sz="0" w:space="0" w:color="auto"/>
        <w:left w:val="none" w:sz="0" w:space="0" w:color="auto"/>
        <w:bottom w:val="none" w:sz="0" w:space="0" w:color="auto"/>
        <w:right w:val="none" w:sz="0" w:space="0" w:color="auto"/>
      </w:divBdr>
    </w:div>
    <w:div w:id="1907766212">
      <w:bodyDiv w:val="1"/>
      <w:marLeft w:val="0"/>
      <w:marRight w:val="0"/>
      <w:marTop w:val="0"/>
      <w:marBottom w:val="0"/>
      <w:divBdr>
        <w:top w:val="none" w:sz="0" w:space="0" w:color="auto"/>
        <w:left w:val="none" w:sz="0" w:space="0" w:color="auto"/>
        <w:bottom w:val="none" w:sz="0" w:space="0" w:color="auto"/>
        <w:right w:val="none" w:sz="0" w:space="0" w:color="auto"/>
      </w:divBdr>
    </w:div>
    <w:div w:id="1911304038">
      <w:bodyDiv w:val="1"/>
      <w:marLeft w:val="0"/>
      <w:marRight w:val="0"/>
      <w:marTop w:val="0"/>
      <w:marBottom w:val="0"/>
      <w:divBdr>
        <w:top w:val="none" w:sz="0" w:space="0" w:color="auto"/>
        <w:left w:val="none" w:sz="0" w:space="0" w:color="auto"/>
        <w:bottom w:val="none" w:sz="0" w:space="0" w:color="auto"/>
        <w:right w:val="none" w:sz="0" w:space="0" w:color="auto"/>
      </w:divBdr>
    </w:div>
    <w:div w:id="1919175087">
      <w:bodyDiv w:val="1"/>
      <w:marLeft w:val="0"/>
      <w:marRight w:val="0"/>
      <w:marTop w:val="0"/>
      <w:marBottom w:val="0"/>
      <w:divBdr>
        <w:top w:val="none" w:sz="0" w:space="0" w:color="auto"/>
        <w:left w:val="none" w:sz="0" w:space="0" w:color="auto"/>
        <w:bottom w:val="none" w:sz="0" w:space="0" w:color="auto"/>
        <w:right w:val="none" w:sz="0" w:space="0" w:color="auto"/>
      </w:divBdr>
    </w:div>
    <w:div w:id="1922445784">
      <w:bodyDiv w:val="1"/>
      <w:marLeft w:val="0"/>
      <w:marRight w:val="0"/>
      <w:marTop w:val="0"/>
      <w:marBottom w:val="0"/>
      <w:divBdr>
        <w:top w:val="none" w:sz="0" w:space="0" w:color="auto"/>
        <w:left w:val="none" w:sz="0" w:space="0" w:color="auto"/>
        <w:bottom w:val="none" w:sz="0" w:space="0" w:color="auto"/>
        <w:right w:val="none" w:sz="0" w:space="0" w:color="auto"/>
      </w:divBdr>
    </w:div>
    <w:div w:id="1946231204">
      <w:bodyDiv w:val="1"/>
      <w:marLeft w:val="0"/>
      <w:marRight w:val="0"/>
      <w:marTop w:val="0"/>
      <w:marBottom w:val="0"/>
      <w:divBdr>
        <w:top w:val="none" w:sz="0" w:space="0" w:color="auto"/>
        <w:left w:val="none" w:sz="0" w:space="0" w:color="auto"/>
        <w:bottom w:val="none" w:sz="0" w:space="0" w:color="auto"/>
        <w:right w:val="none" w:sz="0" w:space="0" w:color="auto"/>
      </w:divBdr>
    </w:div>
    <w:div w:id="1947617044">
      <w:bodyDiv w:val="1"/>
      <w:marLeft w:val="0"/>
      <w:marRight w:val="0"/>
      <w:marTop w:val="0"/>
      <w:marBottom w:val="0"/>
      <w:divBdr>
        <w:top w:val="none" w:sz="0" w:space="0" w:color="auto"/>
        <w:left w:val="none" w:sz="0" w:space="0" w:color="auto"/>
        <w:bottom w:val="none" w:sz="0" w:space="0" w:color="auto"/>
        <w:right w:val="none" w:sz="0" w:space="0" w:color="auto"/>
      </w:divBdr>
    </w:div>
    <w:div w:id="1951083558">
      <w:bodyDiv w:val="1"/>
      <w:marLeft w:val="0"/>
      <w:marRight w:val="0"/>
      <w:marTop w:val="0"/>
      <w:marBottom w:val="0"/>
      <w:divBdr>
        <w:top w:val="none" w:sz="0" w:space="0" w:color="auto"/>
        <w:left w:val="none" w:sz="0" w:space="0" w:color="auto"/>
        <w:bottom w:val="none" w:sz="0" w:space="0" w:color="auto"/>
        <w:right w:val="none" w:sz="0" w:space="0" w:color="auto"/>
      </w:divBdr>
    </w:div>
    <w:div w:id="1957835169">
      <w:bodyDiv w:val="1"/>
      <w:marLeft w:val="0"/>
      <w:marRight w:val="0"/>
      <w:marTop w:val="0"/>
      <w:marBottom w:val="0"/>
      <w:divBdr>
        <w:top w:val="none" w:sz="0" w:space="0" w:color="auto"/>
        <w:left w:val="none" w:sz="0" w:space="0" w:color="auto"/>
        <w:bottom w:val="none" w:sz="0" w:space="0" w:color="auto"/>
        <w:right w:val="none" w:sz="0" w:space="0" w:color="auto"/>
      </w:divBdr>
    </w:div>
    <w:div w:id="1978802858">
      <w:bodyDiv w:val="1"/>
      <w:marLeft w:val="0"/>
      <w:marRight w:val="0"/>
      <w:marTop w:val="0"/>
      <w:marBottom w:val="0"/>
      <w:divBdr>
        <w:top w:val="none" w:sz="0" w:space="0" w:color="auto"/>
        <w:left w:val="none" w:sz="0" w:space="0" w:color="auto"/>
        <w:bottom w:val="none" w:sz="0" w:space="0" w:color="auto"/>
        <w:right w:val="none" w:sz="0" w:space="0" w:color="auto"/>
      </w:divBdr>
    </w:div>
    <w:div w:id="1979138983">
      <w:bodyDiv w:val="1"/>
      <w:marLeft w:val="0"/>
      <w:marRight w:val="0"/>
      <w:marTop w:val="0"/>
      <w:marBottom w:val="0"/>
      <w:divBdr>
        <w:top w:val="none" w:sz="0" w:space="0" w:color="auto"/>
        <w:left w:val="none" w:sz="0" w:space="0" w:color="auto"/>
        <w:bottom w:val="none" w:sz="0" w:space="0" w:color="auto"/>
        <w:right w:val="none" w:sz="0" w:space="0" w:color="auto"/>
      </w:divBdr>
    </w:div>
    <w:div w:id="2035570074">
      <w:bodyDiv w:val="1"/>
      <w:marLeft w:val="0"/>
      <w:marRight w:val="0"/>
      <w:marTop w:val="0"/>
      <w:marBottom w:val="0"/>
      <w:divBdr>
        <w:top w:val="none" w:sz="0" w:space="0" w:color="auto"/>
        <w:left w:val="none" w:sz="0" w:space="0" w:color="auto"/>
        <w:bottom w:val="none" w:sz="0" w:space="0" w:color="auto"/>
        <w:right w:val="none" w:sz="0" w:space="0" w:color="auto"/>
      </w:divBdr>
    </w:div>
    <w:div w:id="2044554057">
      <w:bodyDiv w:val="1"/>
      <w:marLeft w:val="0"/>
      <w:marRight w:val="0"/>
      <w:marTop w:val="0"/>
      <w:marBottom w:val="0"/>
      <w:divBdr>
        <w:top w:val="none" w:sz="0" w:space="0" w:color="auto"/>
        <w:left w:val="none" w:sz="0" w:space="0" w:color="auto"/>
        <w:bottom w:val="none" w:sz="0" w:space="0" w:color="auto"/>
        <w:right w:val="none" w:sz="0" w:space="0" w:color="auto"/>
      </w:divBdr>
    </w:div>
    <w:div w:id="2072075449">
      <w:bodyDiv w:val="1"/>
      <w:marLeft w:val="0"/>
      <w:marRight w:val="0"/>
      <w:marTop w:val="0"/>
      <w:marBottom w:val="0"/>
      <w:divBdr>
        <w:top w:val="none" w:sz="0" w:space="0" w:color="auto"/>
        <w:left w:val="none" w:sz="0" w:space="0" w:color="auto"/>
        <w:bottom w:val="none" w:sz="0" w:space="0" w:color="auto"/>
        <w:right w:val="none" w:sz="0" w:space="0" w:color="auto"/>
      </w:divBdr>
    </w:div>
    <w:div w:id="2095121595">
      <w:bodyDiv w:val="1"/>
      <w:marLeft w:val="0"/>
      <w:marRight w:val="0"/>
      <w:marTop w:val="0"/>
      <w:marBottom w:val="0"/>
      <w:divBdr>
        <w:top w:val="none" w:sz="0" w:space="0" w:color="auto"/>
        <w:left w:val="none" w:sz="0" w:space="0" w:color="auto"/>
        <w:bottom w:val="none" w:sz="0" w:space="0" w:color="auto"/>
        <w:right w:val="none" w:sz="0" w:space="0" w:color="auto"/>
      </w:divBdr>
    </w:div>
    <w:div w:id="2099254189">
      <w:bodyDiv w:val="1"/>
      <w:marLeft w:val="0"/>
      <w:marRight w:val="0"/>
      <w:marTop w:val="0"/>
      <w:marBottom w:val="0"/>
      <w:divBdr>
        <w:top w:val="none" w:sz="0" w:space="0" w:color="auto"/>
        <w:left w:val="none" w:sz="0" w:space="0" w:color="auto"/>
        <w:bottom w:val="none" w:sz="0" w:space="0" w:color="auto"/>
        <w:right w:val="none" w:sz="0" w:space="0" w:color="auto"/>
      </w:divBdr>
    </w:div>
    <w:div w:id="2109691790">
      <w:bodyDiv w:val="1"/>
      <w:marLeft w:val="0"/>
      <w:marRight w:val="0"/>
      <w:marTop w:val="0"/>
      <w:marBottom w:val="0"/>
      <w:divBdr>
        <w:top w:val="none" w:sz="0" w:space="0" w:color="auto"/>
        <w:left w:val="none" w:sz="0" w:space="0" w:color="auto"/>
        <w:bottom w:val="none" w:sz="0" w:space="0" w:color="auto"/>
        <w:right w:val="none" w:sz="0" w:space="0" w:color="auto"/>
      </w:divBdr>
    </w:div>
    <w:div w:id="2110931707">
      <w:bodyDiv w:val="1"/>
      <w:marLeft w:val="0"/>
      <w:marRight w:val="0"/>
      <w:marTop w:val="0"/>
      <w:marBottom w:val="0"/>
      <w:divBdr>
        <w:top w:val="none" w:sz="0" w:space="0" w:color="auto"/>
        <w:left w:val="none" w:sz="0" w:space="0" w:color="auto"/>
        <w:bottom w:val="none" w:sz="0" w:space="0" w:color="auto"/>
        <w:right w:val="none" w:sz="0" w:space="0" w:color="auto"/>
      </w:divBdr>
    </w:div>
    <w:div w:id="2117600249">
      <w:bodyDiv w:val="1"/>
      <w:marLeft w:val="0"/>
      <w:marRight w:val="0"/>
      <w:marTop w:val="0"/>
      <w:marBottom w:val="0"/>
      <w:divBdr>
        <w:top w:val="none" w:sz="0" w:space="0" w:color="auto"/>
        <w:left w:val="none" w:sz="0" w:space="0" w:color="auto"/>
        <w:bottom w:val="none" w:sz="0" w:space="0" w:color="auto"/>
        <w:right w:val="none" w:sz="0" w:space="0" w:color="auto"/>
      </w:divBdr>
    </w:div>
    <w:div w:id="214500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customXml" Target="../customXml/item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 Id="rId30" Type="http://schemas.openxmlformats.org/officeDocument/2006/relationships/customXml" Target="../customXml/item5.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AZJMDCZ6QSYZ-1849078857-54819</_dlc_DocId>
    <_dlc_DocIdUrl xmlns="a494813a-d0d8-4dad-94cb-0d196f36ba15">
      <Url>https://ekoordinacije.vlada.hr/koordinacija-gospodarstvo/_layouts/15/DocIdRedir.aspx?ID=AZJMDCZ6QSYZ-1849078857-54819</Url>
      <Description>AZJMDCZ6QSYZ-1849078857-54819</Description>
    </_dlc_DocIdUrl>
  </documentManagement>
</p:properties>
</file>

<file path=customXml/itemProps1.xml><?xml version="1.0" encoding="utf-8"?>
<ds:datastoreItem xmlns:ds="http://schemas.openxmlformats.org/officeDocument/2006/customXml" ds:itemID="{16F72E48-6083-4435-A608-3C0B0A69E01D}">
  <ds:schemaRefs>
    <ds:schemaRef ds:uri="http://schemas.openxmlformats.org/officeDocument/2006/bibliography"/>
  </ds:schemaRefs>
</ds:datastoreItem>
</file>

<file path=customXml/itemProps2.xml><?xml version="1.0" encoding="utf-8"?>
<ds:datastoreItem xmlns:ds="http://schemas.openxmlformats.org/officeDocument/2006/customXml" ds:itemID="{6DFD7595-BCBB-4AAA-8B3A-03053780B85B}">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F62802E7-A22E-4CA1-A4AC-F43ECC945986}"/>
</file>

<file path=customXml/itemProps4.xml><?xml version="1.0" encoding="utf-8"?>
<ds:datastoreItem xmlns:ds="http://schemas.openxmlformats.org/officeDocument/2006/customXml" ds:itemID="{92223705-538F-4507-81C2-2247B42640D5}"/>
</file>

<file path=customXml/itemProps5.xml><?xml version="1.0" encoding="utf-8"?>
<ds:datastoreItem xmlns:ds="http://schemas.openxmlformats.org/officeDocument/2006/customXml" ds:itemID="{51EF6B33-3E9B-4C07-81EB-509536E21270}"/>
</file>

<file path=customXml/itemProps6.xml><?xml version="1.0" encoding="utf-8"?>
<ds:datastoreItem xmlns:ds="http://schemas.openxmlformats.org/officeDocument/2006/customXml" ds:itemID="{1B0597CD-847B-46FF-BD59-B22B64F25CF6}"/>
</file>

<file path=docProps/app.xml><?xml version="1.0" encoding="utf-8"?>
<Properties xmlns="http://schemas.openxmlformats.org/officeDocument/2006/extended-properties" xmlns:vt="http://schemas.openxmlformats.org/officeDocument/2006/docPropsVTypes">
  <Template>Normal</Template>
  <TotalTime>1</TotalTime>
  <Pages>37</Pages>
  <Words>12775</Words>
  <Characters>72822</Characters>
  <Application>Microsoft Office Word</Application>
  <DocSecurity>0</DocSecurity>
  <Lines>606</Lines>
  <Paragraphs>170</Paragraphs>
  <ScaleCrop>false</ScaleCrop>
  <HeadingPairs>
    <vt:vector size="2" baseType="variant">
      <vt:variant>
        <vt:lpstr>Naslov</vt:lpstr>
      </vt:variant>
      <vt:variant>
        <vt:i4>1</vt:i4>
      </vt:variant>
    </vt:vector>
  </HeadingPairs>
  <TitlesOfParts>
    <vt:vector size="1" baseType="lpstr">
      <vt:lpstr/>
    </vt:vector>
  </TitlesOfParts>
  <Company>MZOPUG</Company>
  <LinksUpToDate>false</LinksUpToDate>
  <CharactersWithSpaces>85427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Juras</dc:creator>
  <cp:lastModifiedBy>Mario Stipetić</cp:lastModifiedBy>
  <cp:revision>2</cp:revision>
  <cp:lastPrinted>2026-05-11T10:59:00Z</cp:lastPrinted>
  <dcterms:created xsi:type="dcterms:W3CDTF">2026-05-14T11:35:00Z</dcterms:created>
  <dcterms:modified xsi:type="dcterms:W3CDTF">2026-05-14T11:35:00Z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768354df-8a7b-4fc5-91c4-4d3fe0910b65</vt:lpwstr>
  </property>
  <property fmtid="{D5CDD505-2E9C-101B-9397-08002B2CF9AE}" pid="3" name="bjSaver">
    <vt:lpwstr>i1lsmLngPGVW28Ocqv9ndvlGp0h+sR72</vt:lpwstr>
  </property>
  <property fmtid="{D5CDD505-2E9C-101B-9397-08002B2CF9AE}" pid="4"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5" name="bjDocumentLabelXML-0">
    <vt:lpwstr>ames.com/2008/01/sie/internal/label"&gt;&lt;element uid="937e288e-3614-44b9-bb31-237331b81634" value="" /&gt;&lt;/sisl&gt;</vt:lpwstr>
  </property>
  <property fmtid="{D5CDD505-2E9C-101B-9397-08002B2CF9AE}" pid="6" name="bjDocumentSecurityLabel">
    <vt:lpwstr>NEKLASIFICIRANO</vt:lpwstr>
  </property>
  <property fmtid="{D5CDD505-2E9C-101B-9397-08002B2CF9AE}" pid="7" name="bjClsUserRVM">
    <vt:lpwstr>[]</vt:lpwstr>
  </property>
  <property fmtid="{D5CDD505-2E9C-101B-9397-08002B2CF9AE}" pid="8" name="ClassificationContentMarkingHeaderShapeIds">
    <vt:lpwstr>e1857c,11540fa4,368d50ab,50613fb5,75c41111</vt:lpwstr>
  </property>
  <property fmtid="{D5CDD505-2E9C-101B-9397-08002B2CF9AE}" pid="9" name="ClassificationContentMarkingHeaderFontProps">
    <vt:lpwstr>#1557b7,10,Times New Roman</vt:lpwstr>
  </property>
  <property fmtid="{D5CDD505-2E9C-101B-9397-08002B2CF9AE}" pid="10" name="ClassificationContentMarkingHeaderText">
    <vt:lpwstr>Stupanj klasifikacije: SLUŽBENO</vt:lpwstr>
  </property>
  <property fmtid="{D5CDD505-2E9C-101B-9397-08002B2CF9AE}" pid="11" name="MSIP_Label_a1893c90-3802-469b-8266-11cae1d6abd9_Enabled">
    <vt:lpwstr>true</vt:lpwstr>
  </property>
  <property fmtid="{D5CDD505-2E9C-101B-9397-08002B2CF9AE}" pid="12" name="MSIP_Label_a1893c90-3802-469b-8266-11cae1d6abd9_SetDate">
    <vt:lpwstr>2025-11-07T14:10:07Z</vt:lpwstr>
  </property>
  <property fmtid="{D5CDD505-2E9C-101B-9397-08002B2CF9AE}" pid="13" name="MSIP_Label_a1893c90-3802-469b-8266-11cae1d6abd9_Method">
    <vt:lpwstr>Privileged</vt:lpwstr>
  </property>
  <property fmtid="{D5CDD505-2E9C-101B-9397-08002B2CF9AE}" pid="14" name="MSIP_Label_a1893c90-3802-469b-8266-11cae1d6abd9_Name">
    <vt:lpwstr>SLUŽBENO</vt:lpwstr>
  </property>
  <property fmtid="{D5CDD505-2E9C-101B-9397-08002B2CF9AE}" pid="15" name="MSIP_Label_a1893c90-3802-469b-8266-11cae1d6abd9_SiteId">
    <vt:lpwstr>45b24d32-64bd-4126-954f-fc475240a4df</vt:lpwstr>
  </property>
  <property fmtid="{D5CDD505-2E9C-101B-9397-08002B2CF9AE}" pid="16" name="MSIP_Label_a1893c90-3802-469b-8266-11cae1d6abd9_ActionId">
    <vt:lpwstr>f1dfc5cf-5e12-4b8f-b9f3-16062ad70321</vt:lpwstr>
  </property>
  <property fmtid="{D5CDD505-2E9C-101B-9397-08002B2CF9AE}" pid="17" name="MSIP_Label_a1893c90-3802-469b-8266-11cae1d6abd9_ContentBits">
    <vt:lpwstr>1</vt:lpwstr>
  </property>
  <property fmtid="{D5CDD505-2E9C-101B-9397-08002B2CF9AE}" pid="18" name="MSIP_Label_a1893c90-3802-469b-8266-11cae1d6abd9_Tag">
    <vt:lpwstr>10, 0, 1, 1</vt:lpwstr>
  </property>
  <property fmtid="{D5CDD505-2E9C-101B-9397-08002B2CF9AE}" pid="19" name="ContentTypeId">
    <vt:lpwstr>0x010100E9B0585B2CC6B7498492DEAFE3511BDC</vt:lpwstr>
  </property>
  <property fmtid="{D5CDD505-2E9C-101B-9397-08002B2CF9AE}" pid="20" name="_dlc_DocIdItemGuid">
    <vt:lpwstr>8ad0582f-8a42-460b-b815-4d2c1d78b8da</vt:lpwstr>
  </property>
</Properties>
</file>